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3E" w:rsidRDefault="00820A3E" w:rsidP="00820A3E">
      <w:pPr>
        <w:spacing w:after="0"/>
        <w:jc w:val="right"/>
        <w:outlineLvl w:val="0"/>
        <w:rPr>
          <w:rFonts w:ascii="Times New Roman" w:hAnsi="Times New Roman"/>
          <w:b/>
          <w:caps/>
          <w:sz w:val="28"/>
          <w:szCs w:val="28"/>
        </w:rPr>
      </w:pPr>
      <w:r>
        <w:rPr>
          <w:rFonts w:ascii="Times New Roman" w:hAnsi="Times New Roman"/>
          <w:b/>
          <w:caps/>
          <w:sz w:val="28"/>
          <w:szCs w:val="28"/>
        </w:rPr>
        <w:t>ПРОЄКТ</w:t>
      </w:r>
    </w:p>
    <w:p w:rsidR="00820A3E" w:rsidRDefault="00820A3E" w:rsidP="00820A3E">
      <w:pPr>
        <w:spacing w:after="0"/>
        <w:jc w:val="center"/>
        <w:outlineLvl w:val="0"/>
        <w:rPr>
          <w:rFonts w:ascii="Times New Roman" w:hAnsi="Times New Roman"/>
          <w:caps/>
          <w:sz w:val="28"/>
          <w:szCs w:val="28"/>
        </w:rPr>
      </w:pPr>
      <w:r>
        <w:rPr>
          <w:rFonts w:ascii="Times New Roman" w:hAnsi="Times New Roman"/>
          <w:caps/>
          <w:noProof/>
          <w:sz w:val="28"/>
          <w:szCs w:val="28"/>
          <w:lang w:eastAsia="uk-UA"/>
        </w:rPr>
        <w:drawing>
          <wp:inline distT="0" distB="0" distL="0" distR="0">
            <wp:extent cx="4381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820A3E" w:rsidRDefault="00820A3E" w:rsidP="00820A3E">
      <w:pPr>
        <w:spacing w:after="0"/>
        <w:jc w:val="center"/>
        <w:outlineLvl w:val="0"/>
        <w:rPr>
          <w:rFonts w:ascii="Times New Roman" w:hAnsi="Times New Roman"/>
          <w:caps/>
          <w:sz w:val="28"/>
          <w:szCs w:val="28"/>
        </w:rPr>
      </w:pPr>
    </w:p>
    <w:p w:rsidR="00820A3E" w:rsidRDefault="00820A3E" w:rsidP="00820A3E">
      <w:pPr>
        <w:shd w:val="clear" w:color="auto" w:fill="FFFFFF"/>
        <w:spacing w:after="0"/>
        <w:jc w:val="center"/>
        <w:rPr>
          <w:rFonts w:ascii="Times New Roman" w:hAnsi="Times New Roman"/>
          <w:sz w:val="21"/>
          <w:szCs w:val="21"/>
        </w:rPr>
      </w:pPr>
      <w:r>
        <w:rPr>
          <w:rFonts w:ascii="Times New Roman" w:hAnsi="Times New Roman"/>
          <w:b/>
          <w:bCs/>
          <w:sz w:val="28"/>
          <w:szCs w:val="28"/>
          <w:bdr w:val="none" w:sz="0" w:space="0" w:color="auto" w:frame="1"/>
        </w:rPr>
        <w:t>УКРАЇНА</w:t>
      </w:r>
    </w:p>
    <w:p w:rsidR="00820A3E" w:rsidRDefault="00820A3E" w:rsidP="00820A3E">
      <w:pPr>
        <w:shd w:val="clear" w:color="auto" w:fill="FFFFFF"/>
        <w:spacing w:after="0"/>
        <w:jc w:val="center"/>
        <w:rPr>
          <w:rFonts w:ascii="Times New Roman" w:hAnsi="Times New Roman"/>
          <w:sz w:val="21"/>
          <w:szCs w:val="21"/>
        </w:rPr>
      </w:pPr>
      <w:proofErr w:type="spellStart"/>
      <w:r>
        <w:rPr>
          <w:rFonts w:ascii="Times New Roman" w:hAnsi="Times New Roman"/>
          <w:b/>
          <w:bCs/>
          <w:sz w:val="28"/>
          <w:szCs w:val="28"/>
          <w:bdr w:val="none" w:sz="0" w:space="0" w:color="auto" w:frame="1"/>
        </w:rPr>
        <w:t>Більшівцівсь</w:t>
      </w:r>
      <w:proofErr w:type="spellEnd"/>
      <w:r>
        <w:rPr>
          <w:rFonts w:ascii="Times New Roman" w:hAnsi="Times New Roman"/>
          <w:b/>
          <w:bCs/>
          <w:sz w:val="28"/>
          <w:szCs w:val="28"/>
          <w:bdr w:val="none" w:sz="0" w:space="0" w:color="auto" w:frame="1"/>
        </w:rPr>
        <w:t>ка селищна рада</w:t>
      </w:r>
    </w:p>
    <w:p w:rsidR="00820A3E" w:rsidRDefault="00820A3E" w:rsidP="00820A3E">
      <w:pPr>
        <w:shd w:val="clear" w:color="auto" w:fill="FFFFFF"/>
        <w:spacing w:after="0"/>
        <w:jc w:val="center"/>
        <w:rPr>
          <w:rFonts w:ascii="Times New Roman" w:hAnsi="Times New Roman"/>
          <w:sz w:val="21"/>
          <w:szCs w:val="21"/>
        </w:rPr>
      </w:pPr>
      <w:r>
        <w:rPr>
          <w:rFonts w:ascii="Times New Roman" w:hAnsi="Times New Roman"/>
          <w:b/>
          <w:bCs/>
          <w:sz w:val="28"/>
          <w:szCs w:val="28"/>
          <w:bdr w:val="none" w:sz="0" w:space="0" w:color="auto" w:frame="1"/>
        </w:rPr>
        <w:t xml:space="preserve"> </w:t>
      </w:r>
      <w:r>
        <w:rPr>
          <w:rFonts w:ascii="Times New Roman" w:hAnsi="Times New Roman"/>
          <w:b/>
          <w:bCs/>
          <w:sz w:val="28"/>
          <w:szCs w:val="28"/>
          <w:bdr w:val="none" w:sz="0" w:space="0" w:color="auto" w:frame="1"/>
          <w:lang w:val="en-US"/>
        </w:rPr>
        <w:t>V</w:t>
      </w:r>
      <w:r>
        <w:rPr>
          <w:rFonts w:ascii="Times New Roman" w:hAnsi="Times New Roman"/>
          <w:b/>
          <w:bCs/>
          <w:sz w:val="28"/>
          <w:szCs w:val="28"/>
          <w:bdr w:val="none" w:sz="0" w:space="0" w:color="auto" w:frame="1"/>
        </w:rPr>
        <w:t>ІІІ сесія VIІI скликання</w:t>
      </w:r>
      <w:r>
        <w:rPr>
          <w:rFonts w:ascii="Times New Roman" w:hAnsi="Times New Roman"/>
          <w:bdr w:val="none" w:sz="0" w:space="0" w:color="auto" w:frame="1"/>
        </w:rPr>
        <w:t> </w:t>
      </w:r>
    </w:p>
    <w:p w:rsidR="00820A3E" w:rsidRDefault="00820A3E" w:rsidP="00820A3E">
      <w:pPr>
        <w:spacing w:after="0"/>
        <w:jc w:val="center"/>
        <w:outlineLvl w:val="0"/>
        <w:rPr>
          <w:rFonts w:ascii="Times New Roman" w:hAnsi="Times New Roman"/>
          <w:b/>
          <w:sz w:val="28"/>
          <w:szCs w:val="28"/>
        </w:rPr>
      </w:pPr>
    </w:p>
    <w:p w:rsidR="00820A3E" w:rsidRDefault="00820A3E" w:rsidP="00820A3E">
      <w:pPr>
        <w:spacing w:after="0"/>
        <w:jc w:val="center"/>
        <w:outlineLvl w:val="0"/>
        <w:rPr>
          <w:rFonts w:ascii="Times New Roman" w:hAnsi="Times New Roman"/>
          <w:b/>
          <w:sz w:val="28"/>
          <w:szCs w:val="28"/>
        </w:rPr>
      </w:pPr>
      <w:r>
        <w:rPr>
          <w:rFonts w:ascii="Times New Roman" w:hAnsi="Times New Roman"/>
          <w:b/>
          <w:sz w:val="28"/>
          <w:szCs w:val="28"/>
        </w:rPr>
        <w:t>РІШЕННЯ</w:t>
      </w:r>
    </w:p>
    <w:p w:rsidR="00820A3E" w:rsidRDefault="00820A3E" w:rsidP="00820A3E">
      <w:pPr>
        <w:spacing w:after="0"/>
        <w:jc w:val="center"/>
        <w:outlineLvl w:val="0"/>
        <w:rPr>
          <w:rFonts w:ascii="Times New Roman" w:hAnsi="Times New Roman"/>
          <w:b/>
          <w:sz w:val="28"/>
          <w:szCs w:val="28"/>
        </w:rPr>
      </w:pPr>
    </w:p>
    <w:p w:rsidR="00820A3E" w:rsidRDefault="00820A3E" w:rsidP="00820A3E">
      <w:pPr>
        <w:spacing w:after="0"/>
        <w:outlineLvl w:val="0"/>
        <w:rPr>
          <w:rFonts w:ascii="Times New Roman" w:hAnsi="Times New Roman"/>
          <w:b/>
          <w:sz w:val="28"/>
          <w:szCs w:val="28"/>
        </w:rPr>
      </w:pPr>
    </w:p>
    <w:p w:rsidR="00820A3E" w:rsidRDefault="00DD525D" w:rsidP="00820A3E">
      <w:pPr>
        <w:spacing w:after="0"/>
        <w:rPr>
          <w:rFonts w:ascii="Times New Roman" w:hAnsi="Times New Roman"/>
          <w:sz w:val="28"/>
          <w:szCs w:val="28"/>
        </w:rPr>
      </w:pPr>
      <w:r>
        <w:rPr>
          <w:rFonts w:ascii="Times New Roman" w:hAnsi="Times New Roman"/>
          <w:sz w:val="28"/>
          <w:szCs w:val="28"/>
        </w:rPr>
        <w:t>від 08</w:t>
      </w:r>
      <w:bookmarkStart w:id="0" w:name="_GoBack"/>
      <w:bookmarkEnd w:id="0"/>
      <w:r w:rsidR="00820A3E">
        <w:rPr>
          <w:rFonts w:ascii="Times New Roman" w:hAnsi="Times New Roman"/>
          <w:sz w:val="28"/>
          <w:szCs w:val="28"/>
        </w:rPr>
        <w:t xml:space="preserve"> жовтня 2021 року                                                                   </w:t>
      </w:r>
      <w:proofErr w:type="spellStart"/>
      <w:r w:rsidR="00820A3E">
        <w:rPr>
          <w:rFonts w:ascii="Times New Roman" w:hAnsi="Times New Roman"/>
          <w:sz w:val="28"/>
          <w:szCs w:val="28"/>
        </w:rPr>
        <w:t>смт</w:t>
      </w:r>
      <w:proofErr w:type="spellEnd"/>
      <w:r w:rsidR="00820A3E">
        <w:rPr>
          <w:rFonts w:ascii="Times New Roman" w:hAnsi="Times New Roman"/>
          <w:sz w:val="28"/>
          <w:szCs w:val="28"/>
        </w:rPr>
        <w:t xml:space="preserve">. </w:t>
      </w:r>
      <w:proofErr w:type="spellStart"/>
      <w:r w:rsidR="00820A3E">
        <w:rPr>
          <w:rFonts w:ascii="Times New Roman" w:hAnsi="Times New Roman"/>
          <w:sz w:val="28"/>
          <w:szCs w:val="28"/>
        </w:rPr>
        <w:t>Більшівці</w:t>
      </w:r>
      <w:proofErr w:type="spellEnd"/>
    </w:p>
    <w:p w:rsidR="00820A3E" w:rsidRDefault="00820A3E" w:rsidP="00820A3E">
      <w:pPr>
        <w:spacing w:after="0"/>
        <w:rPr>
          <w:rFonts w:ascii="Times New Roman" w:hAnsi="Times New Roman"/>
          <w:sz w:val="28"/>
          <w:szCs w:val="28"/>
        </w:rPr>
      </w:pPr>
      <w:r>
        <w:rPr>
          <w:rFonts w:ascii="Times New Roman" w:hAnsi="Times New Roman"/>
          <w:sz w:val="28"/>
          <w:szCs w:val="28"/>
        </w:rPr>
        <w:t>№ ___</w:t>
      </w:r>
    </w:p>
    <w:p w:rsidR="00EC1E73" w:rsidRDefault="00EC1E73" w:rsidP="00F133AD">
      <w:pPr>
        <w:shd w:val="clear" w:color="auto" w:fill="FFFFFF"/>
        <w:spacing w:after="0" w:line="240" w:lineRule="auto"/>
        <w:jc w:val="both"/>
        <w:rPr>
          <w:rFonts w:ascii="Times New Roman" w:eastAsia="Times New Roman" w:hAnsi="Times New Roman" w:cs="Times New Roman"/>
          <w:b/>
          <w:bCs/>
          <w:spacing w:val="7"/>
          <w:sz w:val="28"/>
          <w:szCs w:val="28"/>
          <w:shd w:val="clear" w:color="auto" w:fill="FFFFFF"/>
          <w:lang w:eastAsia="uk-UA"/>
        </w:rPr>
      </w:pPr>
    </w:p>
    <w:p w:rsidR="00F133AD" w:rsidRPr="00873F0E" w:rsidRDefault="00F133AD" w:rsidP="00F133AD">
      <w:pPr>
        <w:shd w:val="clear" w:color="auto" w:fill="FFFFFF"/>
        <w:spacing w:after="0" w:line="240" w:lineRule="auto"/>
        <w:jc w:val="both"/>
        <w:rPr>
          <w:rFonts w:ascii="Times New Roman" w:eastAsia="Times New Roman" w:hAnsi="Times New Roman" w:cs="Times New Roman"/>
          <w:spacing w:val="7"/>
          <w:sz w:val="28"/>
          <w:szCs w:val="28"/>
          <w:lang w:eastAsia="uk-UA"/>
        </w:rPr>
      </w:pPr>
      <w:r w:rsidRPr="00873F0E">
        <w:rPr>
          <w:rFonts w:ascii="Times New Roman" w:eastAsia="Times New Roman" w:hAnsi="Times New Roman" w:cs="Times New Roman"/>
          <w:b/>
          <w:bCs/>
          <w:spacing w:val="7"/>
          <w:sz w:val="28"/>
          <w:szCs w:val="28"/>
          <w:shd w:val="clear" w:color="auto" w:fill="FFFFFF"/>
          <w:lang w:eastAsia="uk-UA"/>
        </w:rPr>
        <w:t>Про схвалення Прогнозу бюджету</w:t>
      </w:r>
    </w:p>
    <w:p w:rsidR="00F133AD" w:rsidRPr="00873F0E" w:rsidRDefault="00F133AD" w:rsidP="00F133AD">
      <w:pPr>
        <w:shd w:val="clear" w:color="auto" w:fill="FFFFFF"/>
        <w:spacing w:after="0" w:line="240" w:lineRule="auto"/>
        <w:jc w:val="both"/>
        <w:rPr>
          <w:rFonts w:ascii="Times New Roman" w:eastAsia="Times New Roman" w:hAnsi="Times New Roman" w:cs="Times New Roman"/>
          <w:spacing w:val="7"/>
          <w:sz w:val="28"/>
          <w:szCs w:val="28"/>
          <w:lang w:eastAsia="uk-UA"/>
        </w:rPr>
      </w:pPr>
      <w:r w:rsidRPr="00873F0E">
        <w:rPr>
          <w:rFonts w:ascii="Times New Roman" w:eastAsia="Times New Roman" w:hAnsi="Times New Roman" w:cs="Times New Roman"/>
          <w:b/>
          <w:bCs/>
          <w:spacing w:val="7"/>
          <w:sz w:val="28"/>
          <w:szCs w:val="28"/>
          <w:shd w:val="clear" w:color="auto" w:fill="FFFFFF"/>
          <w:lang w:eastAsia="uk-UA"/>
        </w:rPr>
        <w:t>Більшівцівської  територіальної громади</w:t>
      </w:r>
    </w:p>
    <w:p w:rsidR="00F133AD" w:rsidRDefault="00F133AD" w:rsidP="00F133AD">
      <w:pPr>
        <w:shd w:val="clear" w:color="auto" w:fill="FFFFFF"/>
        <w:spacing w:after="0" w:line="240" w:lineRule="auto"/>
        <w:jc w:val="both"/>
        <w:rPr>
          <w:rFonts w:ascii="Times New Roman" w:eastAsia="Times New Roman" w:hAnsi="Times New Roman" w:cs="Times New Roman"/>
          <w:spacing w:val="7"/>
          <w:sz w:val="28"/>
          <w:szCs w:val="28"/>
          <w:shd w:val="clear" w:color="auto" w:fill="FFFFFF"/>
          <w:lang w:eastAsia="uk-UA"/>
        </w:rPr>
      </w:pPr>
      <w:r w:rsidRPr="00873F0E">
        <w:rPr>
          <w:rFonts w:ascii="Times New Roman" w:eastAsia="Times New Roman" w:hAnsi="Times New Roman" w:cs="Times New Roman"/>
          <w:b/>
          <w:bCs/>
          <w:spacing w:val="7"/>
          <w:sz w:val="28"/>
          <w:szCs w:val="28"/>
          <w:shd w:val="clear" w:color="auto" w:fill="FFFFFF"/>
          <w:lang w:eastAsia="uk-UA"/>
        </w:rPr>
        <w:t>на 2022 - 2024 роки</w:t>
      </w:r>
      <w:r w:rsidRPr="00873F0E">
        <w:rPr>
          <w:rFonts w:ascii="Times New Roman" w:eastAsia="Times New Roman" w:hAnsi="Times New Roman" w:cs="Times New Roman"/>
          <w:spacing w:val="7"/>
          <w:sz w:val="28"/>
          <w:szCs w:val="28"/>
          <w:shd w:val="clear" w:color="auto" w:fill="FFFFFF"/>
          <w:lang w:eastAsia="uk-UA"/>
        </w:rPr>
        <w:t> </w:t>
      </w:r>
    </w:p>
    <w:p w:rsidR="00F133AD" w:rsidRPr="00873F0E" w:rsidRDefault="00F133AD" w:rsidP="00F133AD">
      <w:pPr>
        <w:shd w:val="clear" w:color="auto" w:fill="FFFFFF"/>
        <w:spacing w:after="0" w:line="240" w:lineRule="auto"/>
        <w:jc w:val="both"/>
        <w:rPr>
          <w:rFonts w:ascii="Times New Roman" w:eastAsia="Times New Roman" w:hAnsi="Times New Roman" w:cs="Times New Roman"/>
          <w:spacing w:val="7"/>
          <w:sz w:val="28"/>
          <w:szCs w:val="28"/>
          <w:lang w:eastAsia="uk-UA"/>
        </w:rPr>
      </w:pPr>
    </w:p>
    <w:p w:rsidR="00F133AD" w:rsidRDefault="00F133AD" w:rsidP="00EC1E73">
      <w:pPr>
        <w:shd w:val="clear" w:color="auto" w:fill="FFFFFF"/>
        <w:spacing w:after="160" w:line="240" w:lineRule="auto"/>
        <w:ind w:firstLine="708"/>
        <w:jc w:val="both"/>
        <w:rPr>
          <w:rFonts w:ascii="Times New Roman" w:eastAsia="Times New Roman" w:hAnsi="Times New Roman" w:cs="Times New Roman"/>
          <w:b/>
          <w:color w:val="000000"/>
          <w:spacing w:val="7"/>
          <w:sz w:val="28"/>
          <w:szCs w:val="28"/>
          <w:shd w:val="clear" w:color="auto" w:fill="FFFFFF"/>
          <w:lang w:eastAsia="uk-UA"/>
        </w:rPr>
      </w:pPr>
      <w:r w:rsidRPr="00902052">
        <w:rPr>
          <w:rFonts w:ascii="Times New Roman" w:eastAsia="Times New Roman" w:hAnsi="Times New Roman" w:cs="Times New Roman"/>
          <w:color w:val="000000"/>
          <w:spacing w:val="7"/>
          <w:sz w:val="28"/>
          <w:szCs w:val="28"/>
          <w:shd w:val="clear" w:color="auto" w:fill="FFFFFF"/>
          <w:lang w:eastAsia="uk-UA"/>
        </w:rPr>
        <w:t>Відповідно до статті 75¹ Бюджетного кодексу України, статті 2</w:t>
      </w:r>
      <w:r>
        <w:rPr>
          <w:rFonts w:ascii="Times New Roman" w:eastAsia="Times New Roman" w:hAnsi="Times New Roman" w:cs="Times New Roman"/>
          <w:color w:val="000000"/>
          <w:spacing w:val="7"/>
          <w:sz w:val="28"/>
          <w:szCs w:val="28"/>
          <w:shd w:val="clear" w:color="auto" w:fill="FFFFFF"/>
          <w:lang w:eastAsia="uk-UA"/>
        </w:rPr>
        <w:t>6</w:t>
      </w:r>
      <w:r w:rsidRPr="00902052">
        <w:rPr>
          <w:rFonts w:ascii="Times New Roman" w:eastAsia="Times New Roman" w:hAnsi="Times New Roman" w:cs="Times New Roman"/>
          <w:color w:val="000000"/>
          <w:spacing w:val="7"/>
          <w:sz w:val="28"/>
          <w:szCs w:val="28"/>
          <w:shd w:val="clear" w:color="auto" w:fill="FFFFFF"/>
          <w:lang w:eastAsia="uk-UA"/>
        </w:rPr>
        <w:t xml:space="preserve"> Закону України «Про місцеве самоврядування в Україні», Постанови Кабінету Міністрів України від 31 травня 2021 року № 548 «Про схвалення Бюджетної декларації на 2022-2024 роки», листа Міністерства фінансів України від 09.06.2021 № </w:t>
      </w:r>
      <w:r w:rsidRPr="00873F0E">
        <w:rPr>
          <w:rFonts w:ascii="Times New Roman" w:eastAsia="Times New Roman" w:hAnsi="Times New Roman" w:cs="Times New Roman"/>
          <w:spacing w:val="7"/>
          <w:sz w:val="28"/>
          <w:szCs w:val="28"/>
          <w:shd w:val="clear" w:color="auto" w:fill="FFFFFF"/>
          <w:lang w:eastAsia="uk-UA"/>
        </w:rPr>
        <w:t>05110-14-6/18181 «Про прогнози місцевих бюджетів на 2022-2024 роки», з метою забезпечення послідовності бюджетного процесу</w:t>
      </w:r>
      <w:r w:rsidRPr="00902052">
        <w:rPr>
          <w:rFonts w:ascii="Times New Roman" w:eastAsia="Times New Roman" w:hAnsi="Times New Roman" w:cs="Times New Roman"/>
          <w:color w:val="000000"/>
          <w:spacing w:val="7"/>
          <w:sz w:val="28"/>
          <w:szCs w:val="28"/>
          <w:shd w:val="clear" w:color="auto" w:fill="FFFFFF"/>
          <w:lang w:eastAsia="uk-UA"/>
        </w:rPr>
        <w:t>,   селищн</w:t>
      </w:r>
      <w:r>
        <w:rPr>
          <w:rFonts w:ascii="Times New Roman" w:eastAsia="Times New Roman" w:hAnsi="Times New Roman" w:cs="Times New Roman"/>
          <w:color w:val="000000"/>
          <w:spacing w:val="7"/>
          <w:sz w:val="28"/>
          <w:szCs w:val="28"/>
          <w:shd w:val="clear" w:color="auto" w:fill="FFFFFF"/>
          <w:lang w:eastAsia="uk-UA"/>
        </w:rPr>
        <w:t>а</w:t>
      </w:r>
      <w:r w:rsidRPr="00902052">
        <w:rPr>
          <w:rFonts w:ascii="Times New Roman" w:eastAsia="Times New Roman" w:hAnsi="Times New Roman" w:cs="Times New Roman"/>
          <w:color w:val="000000"/>
          <w:spacing w:val="7"/>
          <w:sz w:val="28"/>
          <w:szCs w:val="28"/>
          <w:shd w:val="clear" w:color="auto" w:fill="FFFFFF"/>
          <w:lang w:eastAsia="uk-UA"/>
        </w:rPr>
        <w:t xml:space="preserve"> рад</w:t>
      </w:r>
      <w:r>
        <w:rPr>
          <w:rFonts w:ascii="Times New Roman" w:eastAsia="Times New Roman" w:hAnsi="Times New Roman" w:cs="Times New Roman"/>
          <w:color w:val="000000"/>
          <w:spacing w:val="7"/>
          <w:sz w:val="28"/>
          <w:szCs w:val="28"/>
          <w:shd w:val="clear" w:color="auto" w:fill="FFFFFF"/>
          <w:lang w:eastAsia="uk-UA"/>
        </w:rPr>
        <w:t>а</w:t>
      </w:r>
      <w:r w:rsidR="00EC1E73">
        <w:rPr>
          <w:rFonts w:ascii="Times New Roman" w:eastAsia="Times New Roman" w:hAnsi="Times New Roman" w:cs="Times New Roman"/>
          <w:color w:val="000000"/>
          <w:spacing w:val="7"/>
          <w:sz w:val="28"/>
          <w:szCs w:val="28"/>
          <w:shd w:val="clear" w:color="auto" w:fill="FFFFFF"/>
          <w:lang w:eastAsia="uk-UA"/>
        </w:rPr>
        <w:t xml:space="preserve"> </w:t>
      </w:r>
      <w:r w:rsidRPr="00000C3D">
        <w:rPr>
          <w:rFonts w:ascii="Times New Roman" w:eastAsia="Times New Roman" w:hAnsi="Times New Roman" w:cs="Times New Roman"/>
          <w:b/>
          <w:color w:val="000000"/>
          <w:spacing w:val="7"/>
          <w:sz w:val="28"/>
          <w:szCs w:val="28"/>
          <w:shd w:val="clear" w:color="auto" w:fill="FFFFFF"/>
          <w:lang w:eastAsia="uk-UA"/>
        </w:rPr>
        <w:t>вирішила:</w:t>
      </w:r>
    </w:p>
    <w:p w:rsidR="00EC1E73" w:rsidRPr="00EC1E73" w:rsidRDefault="00EC1E73" w:rsidP="00EC1E73">
      <w:pPr>
        <w:shd w:val="clear" w:color="auto" w:fill="FFFFFF"/>
        <w:spacing w:after="160" w:line="240" w:lineRule="auto"/>
        <w:ind w:firstLine="708"/>
        <w:jc w:val="both"/>
        <w:rPr>
          <w:rFonts w:ascii="Times New Roman" w:eastAsia="Times New Roman" w:hAnsi="Times New Roman" w:cs="Times New Roman"/>
          <w:color w:val="000000"/>
          <w:spacing w:val="7"/>
          <w:sz w:val="28"/>
          <w:szCs w:val="28"/>
          <w:shd w:val="clear" w:color="auto" w:fill="FFFFFF"/>
          <w:lang w:eastAsia="uk-UA"/>
        </w:rPr>
      </w:pPr>
    </w:p>
    <w:p w:rsidR="00F133AD" w:rsidRPr="002A6515" w:rsidRDefault="00F133AD" w:rsidP="00F133AD">
      <w:pPr>
        <w:numPr>
          <w:ilvl w:val="0"/>
          <w:numId w:val="1"/>
        </w:numPr>
        <w:shd w:val="clear" w:color="auto" w:fill="FFFFFF"/>
        <w:tabs>
          <w:tab w:val="clear" w:pos="720"/>
          <w:tab w:val="num" w:pos="928"/>
        </w:tabs>
        <w:spacing w:after="0" w:line="240" w:lineRule="auto"/>
        <w:ind w:left="0" w:right="300" w:firstLine="660"/>
        <w:jc w:val="both"/>
        <w:rPr>
          <w:rFonts w:ascii="Times New Roman" w:eastAsia="Times New Roman" w:hAnsi="Times New Roman" w:cs="Times New Roman"/>
          <w:spacing w:val="7"/>
          <w:sz w:val="28"/>
          <w:szCs w:val="28"/>
          <w:lang w:eastAsia="uk-UA"/>
        </w:rPr>
      </w:pPr>
      <w:r w:rsidRPr="00873F0E">
        <w:rPr>
          <w:rFonts w:ascii="Times New Roman" w:eastAsia="Times New Roman" w:hAnsi="Times New Roman" w:cs="Times New Roman"/>
          <w:spacing w:val="7"/>
          <w:sz w:val="28"/>
          <w:szCs w:val="28"/>
          <w:shd w:val="clear" w:color="auto" w:fill="FFFFFF"/>
          <w:lang w:eastAsia="uk-UA"/>
        </w:rPr>
        <w:t>Схвалити Прогноз бюджету Більшівцівської територіальної громади на 2022 – 2024 роки (додаєть</w:t>
      </w:r>
      <w:r>
        <w:rPr>
          <w:rFonts w:ascii="Times New Roman" w:eastAsia="Times New Roman" w:hAnsi="Times New Roman" w:cs="Times New Roman"/>
          <w:spacing w:val="7"/>
          <w:sz w:val="28"/>
          <w:szCs w:val="28"/>
          <w:shd w:val="clear" w:color="auto" w:fill="FFFFFF"/>
          <w:lang w:eastAsia="uk-UA"/>
        </w:rPr>
        <w:t>ся).</w:t>
      </w:r>
      <w:r w:rsidRPr="002A6515">
        <w:rPr>
          <w:rFonts w:ascii="Times New Roman" w:eastAsia="Times New Roman" w:hAnsi="Times New Roman" w:cs="Times New Roman"/>
          <w:spacing w:val="7"/>
          <w:sz w:val="28"/>
          <w:szCs w:val="28"/>
          <w:shd w:val="clear" w:color="auto" w:fill="FFFFFF"/>
          <w:lang w:eastAsia="uk-UA"/>
        </w:rPr>
        <w:t> </w:t>
      </w:r>
    </w:p>
    <w:p w:rsidR="00F133AD" w:rsidRPr="002A6515" w:rsidRDefault="00F133AD" w:rsidP="00F133AD">
      <w:pPr>
        <w:numPr>
          <w:ilvl w:val="0"/>
          <w:numId w:val="1"/>
        </w:numPr>
        <w:shd w:val="clear" w:color="auto" w:fill="FFFFFF"/>
        <w:tabs>
          <w:tab w:val="clear" w:pos="720"/>
          <w:tab w:val="num" w:pos="928"/>
        </w:tabs>
        <w:spacing w:after="0" w:line="240" w:lineRule="auto"/>
        <w:ind w:left="0" w:right="300" w:firstLine="660"/>
        <w:jc w:val="both"/>
        <w:rPr>
          <w:rFonts w:ascii="Times New Roman" w:eastAsia="Times New Roman" w:hAnsi="Times New Roman" w:cs="Times New Roman"/>
          <w:spacing w:val="7"/>
          <w:sz w:val="28"/>
          <w:szCs w:val="28"/>
          <w:lang w:eastAsia="uk-UA"/>
        </w:rPr>
      </w:pPr>
      <w:r w:rsidRPr="002A6515">
        <w:rPr>
          <w:rFonts w:ascii="Times New Roman" w:hAnsi="Times New Roman" w:cs="Times New Roman"/>
          <w:sz w:val="28"/>
          <w:szCs w:val="28"/>
        </w:rPr>
        <w:t>Контроль за виконанням рішення покласти на постійну комісію селищної ради з питань планування фінансів, бюджету та соціально-економічного розвитку (М.Станіславський)</w:t>
      </w:r>
      <w:r>
        <w:rPr>
          <w:rFonts w:ascii="Times New Roman" w:hAnsi="Times New Roman" w:cs="Times New Roman"/>
          <w:sz w:val="28"/>
          <w:szCs w:val="28"/>
        </w:rPr>
        <w:t>.</w:t>
      </w:r>
    </w:p>
    <w:p w:rsidR="00F133AD" w:rsidRPr="00873F0E" w:rsidRDefault="00F133AD" w:rsidP="00F133AD">
      <w:pPr>
        <w:shd w:val="clear" w:color="auto" w:fill="FFFFFF"/>
        <w:spacing w:after="160" w:line="240" w:lineRule="auto"/>
        <w:jc w:val="both"/>
        <w:rPr>
          <w:rFonts w:ascii="Times New Roman" w:eastAsia="Times New Roman" w:hAnsi="Times New Roman" w:cs="Times New Roman"/>
          <w:spacing w:val="7"/>
          <w:sz w:val="28"/>
          <w:szCs w:val="28"/>
          <w:lang w:eastAsia="uk-UA"/>
        </w:rPr>
      </w:pPr>
    </w:p>
    <w:p w:rsidR="00F133AD" w:rsidRDefault="00F133AD" w:rsidP="00F133AD">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p>
    <w:p w:rsidR="00F133AD" w:rsidRDefault="00F133AD" w:rsidP="00F133AD">
      <w:pPr>
        <w:shd w:val="clear" w:color="auto" w:fill="FFFFFF"/>
        <w:spacing w:after="160" w:line="240" w:lineRule="auto"/>
        <w:jc w:val="center"/>
        <w:rPr>
          <w:rFonts w:ascii="Times New Roman" w:eastAsia="Times New Roman" w:hAnsi="Times New Roman" w:cs="Times New Roman"/>
          <w:color w:val="333333"/>
          <w:spacing w:val="7"/>
          <w:sz w:val="28"/>
          <w:szCs w:val="28"/>
          <w:lang w:eastAsia="uk-UA"/>
        </w:rPr>
      </w:pPr>
    </w:p>
    <w:p w:rsidR="00C53C67" w:rsidRDefault="00902052" w:rsidP="00C53C67">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lang w:eastAsia="uk-UA"/>
        </w:rPr>
        <w:t> </w:t>
      </w:r>
      <w:r w:rsidRPr="00902052">
        <w:rPr>
          <w:rFonts w:ascii="Times New Roman" w:eastAsia="Times New Roman" w:hAnsi="Times New Roman" w:cs="Times New Roman"/>
          <w:b/>
          <w:bCs/>
          <w:color w:val="000000"/>
          <w:spacing w:val="7"/>
          <w:sz w:val="28"/>
          <w:szCs w:val="28"/>
          <w:shd w:val="clear" w:color="auto" w:fill="FFFFFF"/>
          <w:lang w:eastAsia="uk-UA"/>
        </w:rPr>
        <w:t xml:space="preserve">Селищний голова                                                  </w:t>
      </w:r>
      <w:r w:rsidR="00281944">
        <w:rPr>
          <w:rFonts w:ascii="Times New Roman" w:eastAsia="Times New Roman" w:hAnsi="Times New Roman" w:cs="Times New Roman"/>
          <w:b/>
          <w:bCs/>
          <w:color w:val="000000"/>
          <w:spacing w:val="7"/>
          <w:sz w:val="28"/>
          <w:szCs w:val="28"/>
          <w:shd w:val="clear" w:color="auto" w:fill="FFFFFF"/>
          <w:lang w:eastAsia="uk-UA"/>
        </w:rPr>
        <w:t>Василь САНОЦЬКИЙ</w:t>
      </w:r>
    </w:p>
    <w:p w:rsidR="00820A3E" w:rsidRDefault="00C53C67" w:rsidP="00C53C67">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r>
        <w:rPr>
          <w:rFonts w:ascii="Times New Roman" w:eastAsia="Times New Roman" w:hAnsi="Times New Roman" w:cs="Times New Roman"/>
          <w:color w:val="333333"/>
          <w:spacing w:val="7"/>
          <w:sz w:val="28"/>
          <w:szCs w:val="28"/>
          <w:lang w:eastAsia="uk-UA"/>
        </w:rPr>
        <w:t xml:space="preserve">                                                                                                     </w:t>
      </w:r>
    </w:p>
    <w:p w:rsidR="00820A3E" w:rsidRDefault="00820A3E" w:rsidP="00C53C67">
      <w:pPr>
        <w:shd w:val="clear" w:color="auto" w:fill="FFFFFF"/>
        <w:spacing w:after="160" w:line="240" w:lineRule="auto"/>
        <w:jc w:val="both"/>
        <w:rPr>
          <w:rFonts w:ascii="Times New Roman" w:eastAsia="Times New Roman" w:hAnsi="Times New Roman" w:cs="Times New Roman"/>
          <w:color w:val="333333"/>
          <w:spacing w:val="7"/>
          <w:sz w:val="28"/>
          <w:szCs w:val="28"/>
          <w:lang w:eastAsia="uk-UA"/>
        </w:rPr>
      </w:pPr>
    </w:p>
    <w:p w:rsidR="00902052" w:rsidRPr="00902052" w:rsidRDefault="00902052" w:rsidP="00820A3E">
      <w:pPr>
        <w:shd w:val="clear" w:color="auto" w:fill="FFFFFF"/>
        <w:spacing w:after="160" w:line="240" w:lineRule="auto"/>
        <w:rPr>
          <w:rFonts w:ascii="Times New Roman" w:eastAsia="Times New Roman" w:hAnsi="Times New Roman" w:cs="Times New Roman"/>
          <w:color w:val="333333"/>
          <w:spacing w:val="7"/>
          <w:sz w:val="28"/>
          <w:szCs w:val="28"/>
          <w:lang w:eastAsia="uk-UA"/>
        </w:rPr>
      </w:pPr>
    </w:p>
    <w:p w:rsidR="00902052" w:rsidRPr="00902052" w:rsidRDefault="00902052" w:rsidP="00902052">
      <w:pPr>
        <w:shd w:val="clear" w:color="auto" w:fill="FFFFFF"/>
        <w:spacing w:after="160" w:line="240" w:lineRule="auto"/>
        <w:jc w:val="center"/>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lang w:eastAsia="uk-UA"/>
        </w:rPr>
        <w:t> </w:t>
      </w:r>
    </w:p>
    <w:p w:rsidR="00902052" w:rsidRPr="00902052" w:rsidRDefault="00902052" w:rsidP="00C53C67">
      <w:pPr>
        <w:shd w:val="clear" w:color="auto" w:fill="FFFFFF"/>
        <w:spacing w:after="160" w:line="240" w:lineRule="auto"/>
        <w:rPr>
          <w:rFonts w:ascii="Times New Roman" w:eastAsia="Times New Roman" w:hAnsi="Times New Roman" w:cs="Times New Roman"/>
          <w:color w:val="333333"/>
          <w:spacing w:val="7"/>
          <w:sz w:val="28"/>
          <w:szCs w:val="28"/>
          <w:lang w:eastAsia="uk-UA"/>
        </w:rPr>
      </w:pPr>
      <w:r w:rsidRPr="00902052">
        <w:rPr>
          <w:rFonts w:ascii="Times New Roman" w:eastAsia="Times New Roman" w:hAnsi="Times New Roman" w:cs="Times New Roman"/>
          <w:color w:val="333333"/>
          <w:spacing w:val="7"/>
          <w:sz w:val="28"/>
          <w:szCs w:val="28"/>
          <w:lang w:eastAsia="uk-UA"/>
        </w:rPr>
        <w:lastRenderedPageBreak/>
        <w:t> </w:t>
      </w:r>
    </w:p>
    <w:p w:rsidR="00820A3E" w:rsidRDefault="00820A3E" w:rsidP="00902052">
      <w:pPr>
        <w:shd w:val="clear" w:color="auto" w:fill="FFFFFF"/>
        <w:spacing w:after="160" w:line="240" w:lineRule="auto"/>
        <w:jc w:val="center"/>
        <w:rPr>
          <w:rFonts w:ascii="Times New Roman" w:eastAsia="Times New Roman" w:hAnsi="Times New Roman" w:cs="Times New Roman"/>
          <w:b/>
          <w:bCs/>
          <w:spacing w:val="7"/>
          <w:sz w:val="28"/>
          <w:szCs w:val="28"/>
          <w:shd w:val="clear" w:color="auto" w:fill="FFFFFF"/>
          <w:lang w:eastAsia="uk-UA"/>
        </w:rPr>
      </w:pP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shd w:val="clear" w:color="auto" w:fill="FFFFFF"/>
          <w:lang w:eastAsia="uk-UA"/>
        </w:rPr>
        <w:t>ПРОГНОЗ</w:t>
      </w:r>
    </w:p>
    <w:p w:rsidR="00820A3E" w:rsidRDefault="00902052" w:rsidP="00902052">
      <w:pPr>
        <w:shd w:val="clear" w:color="auto" w:fill="FFFFFF"/>
        <w:spacing w:after="160" w:line="240" w:lineRule="auto"/>
        <w:jc w:val="center"/>
        <w:rPr>
          <w:rFonts w:ascii="Times New Roman" w:eastAsia="Times New Roman" w:hAnsi="Times New Roman" w:cs="Times New Roman"/>
          <w:b/>
          <w:bCs/>
          <w:spacing w:val="7"/>
          <w:sz w:val="28"/>
          <w:szCs w:val="28"/>
          <w:shd w:val="clear" w:color="auto" w:fill="FFFFFF"/>
          <w:lang w:eastAsia="uk-UA"/>
        </w:rPr>
      </w:pPr>
      <w:r w:rsidRPr="00100414">
        <w:rPr>
          <w:rFonts w:ascii="Times New Roman" w:eastAsia="Times New Roman" w:hAnsi="Times New Roman" w:cs="Times New Roman"/>
          <w:b/>
          <w:bCs/>
          <w:spacing w:val="7"/>
          <w:sz w:val="28"/>
          <w:szCs w:val="28"/>
          <w:shd w:val="clear" w:color="auto" w:fill="FFFFFF"/>
          <w:lang w:eastAsia="uk-UA"/>
        </w:rPr>
        <w:t xml:space="preserve">бюджету </w:t>
      </w:r>
      <w:r w:rsidR="00100414" w:rsidRPr="00100414">
        <w:rPr>
          <w:rFonts w:ascii="Times New Roman" w:eastAsia="Times New Roman" w:hAnsi="Times New Roman" w:cs="Times New Roman"/>
          <w:b/>
          <w:bCs/>
          <w:spacing w:val="7"/>
          <w:sz w:val="28"/>
          <w:szCs w:val="28"/>
          <w:shd w:val="clear" w:color="auto" w:fill="FFFFFF"/>
          <w:lang w:eastAsia="uk-UA"/>
        </w:rPr>
        <w:t xml:space="preserve">Більшівцівської </w:t>
      </w:r>
      <w:r w:rsidRPr="00100414">
        <w:rPr>
          <w:rFonts w:ascii="Times New Roman" w:eastAsia="Times New Roman" w:hAnsi="Times New Roman" w:cs="Times New Roman"/>
          <w:b/>
          <w:bCs/>
          <w:spacing w:val="7"/>
          <w:sz w:val="28"/>
          <w:szCs w:val="28"/>
          <w:shd w:val="clear" w:color="auto" w:fill="FFFFFF"/>
          <w:lang w:eastAsia="uk-UA"/>
        </w:rPr>
        <w:t xml:space="preserve">територіальної громади </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shd w:val="clear" w:color="auto" w:fill="FFFFFF"/>
          <w:lang w:eastAsia="uk-UA"/>
        </w:rPr>
        <w:t>на 2022-2024 роки</w:t>
      </w:r>
    </w:p>
    <w:p w:rsidR="00902052" w:rsidRPr="00100414" w:rsidRDefault="00100414"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lang w:eastAsia="uk-UA"/>
        </w:rPr>
        <w:t>09506000000</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(код бюджету)</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lang w:eastAsia="uk-UA"/>
        </w:rPr>
        <w:t> </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lang w:eastAsia="uk-UA"/>
        </w:rPr>
        <w:t> </w:t>
      </w:r>
    </w:p>
    <w:p w:rsidR="00902052" w:rsidRPr="001004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b/>
          <w:bCs/>
          <w:spacing w:val="7"/>
          <w:sz w:val="28"/>
          <w:szCs w:val="28"/>
          <w:shd w:val="clear" w:color="auto" w:fill="FFFFFF"/>
          <w:lang w:eastAsia="uk-UA"/>
        </w:rPr>
        <w:t>І. Загальна частина</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 xml:space="preserve">Прогноз бюджету </w:t>
      </w:r>
      <w:r w:rsidR="00100414" w:rsidRPr="00100414">
        <w:rPr>
          <w:rFonts w:ascii="Times New Roman" w:eastAsia="Times New Roman" w:hAnsi="Times New Roman" w:cs="Times New Roman"/>
          <w:spacing w:val="7"/>
          <w:sz w:val="28"/>
          <w:szCs w:val="28"/>
          <w:shd w:val="clear" w:color="auto" w:fill="FFFFFF"/>
          <w:lang w:eastAsia="uk-UA"/>
        </w:rPr>
        <w:t xml:space="preserve">Більшівцівської </w:t>
      </w:r>
      <w:r w:rsidRPr="00100414">
        <w:rPr>
          <w:rFonts w:ascii="Times New Roman" w:eastAsia="Times New Roman" w:hAnsi="Times New Roman" w:cs="Times New Roman"/>
          <w:spacing w:val="7"/>
          <w:sz w:val="28"/>
          <w:szCs w:val="28"/>
          <w:shd w:val="clear" w:color="auto" w:fill="FFFFFF"/>
          <w:lang w:eastAsia="uk-UA"/>
        </w:rPr>
        <w:t xml:space="preserve"> територіальної громади на 2022-2024 роки (далі – Прогноз) розроблено відповідно до статті 75¹ Бюджетного кодексу України, діючого Податкового  кодексу України, Постанови Кабінету Міністрів України від 31 травня 2021 року № 548 «Про схвалення Бюджетної декларації на 2022-2024 роки»,наказу Міністерства фінансів України від 23.06.2021 року №365 «Про затвердження методичних рекомендацій щодо здійснення підготовки пропозицій до прогнозу місцевого бюджету, беручи до уваги лист Міністерства фінансів України від 09.06.2021 № 05110-14-6/18181 «Про прогнози місцевих бюджетів на 2022-2024 роки» та інших законодавчих актів, що стосуються місцевих бюджетів та міжбюджетних відносин.</w:t>
      </w:r>
    </w:p>
    <w:p w:rsidR="00902052" w:rsidRPr="002C4C98" w:rsidRDefault="00902052" w:rsidP="002C4C98">
      <w:pPr>
        <w:spacing w:after="120" w:line="240" w:lineRule="auto"/>
        <w:ind w:firstLine="567"/>
        <w:jc w:val="both"/>
        <w:rPr>
          <w:rFonts w:ascii="Times New Roman" w:hAnsi="Times New Roman"/>
          <w:sz w:val="28"/>
          <w:szCs w:val="28"/>
        </w:rPr>
      </w:pPr>
      <w:r w:rsidRPr="00100414">
        <w:rPr>
          <w:rFonts w:ascii="Times New Roman" w:eastAsia="Times New Roman" w:hAnsi="Times New Roman" w:cs="Times New Roman"/>
          <w:spacing w:val="7"/>
          <w:sz w:val="28"/>
          <w:szCs w:val="28"/>
          <w:shd w:val="clear" w:color="auto" w:fill="FFFFFF"/>
          <w:lang w:eastAsia="uk-UA"/>
        </w:rPr>
        <w:t>Запровадження середньострокового бюджетного планування сприятиме забезпеченню фінансової стабільності та зміцненню економічного зростання у середньостроковій перспективі. Спрямоване на забезпечення економічного зростання та сталого розвитку населених пунктів територіальної громади. Мета прогнозу – запровадження середньострокового бюджетного прогнозування для встановлення взаємозв’язку між стратегічними цілями розвитку територіальної громади та можливостями бюджету.</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 xml:space="preserve">Основними цілями бюджетної політики </w:t>
      </w:r>
      <w:r w:rsidR="00100414" w:rsidRPr="00100414">
        <w:rPr>
          <w:rFonts w:ascii="Times New Roman" w:eastAsia="Times New Roman" w:hAnsi="Times New Roman" w:cs="Times New Roman"/>
          <w:spacing w:val="7"/>
          <w:sz w:val="28"/>
          <w:szCs w:val="28"/>
          <w:shd w:val="clear" w:color="auto" w:fill="FFFFFF"/>
          <w:lang w:eastAsia="uk-UA"/>
        </w:rPr>
        <w:t xml:space="preserve">Більшівцівської </w:t>
      </w:r>
      <w:r w:rsidRPr="00100414">
        <w:rPr>
          <w:rFonts w:ascii="Times New Roman" w:eastAsia="Times New Roman" w:hAnsi="Times New Roman" w:cs="Times New Roman"/>
          <w:spacing w:val="7"/>
          <w:sz w:val="28"/>
          <w:szCs w:val="28"/>
          <w:shd w:val="clear" w:color="auto" w:fill="FFFFFF"/>
          <w:lang w:eastAsia="uk-UA"/>
        </w:rPr>
        <w:t>територіальної громади в 2022-2024 роках є:</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spacing w:val="7"/>
          <w:sz w:val="28"/>
          <w:szCs w:val="28"/>
          <w:shd w:val="clear" w:color="auto" w:fill="FFFFFF"/>
          <w:lang w:eastAsia="uk-UA"/>
        </w:rPr>
        <w:t xml:space="preserve">-  забезпечення надходжень до бюджету </w:t>
      </w:r>
      <w:r w:rsidR="00100414" w:rsidRPr="00100414">
        <w:rPr>
          <w:rFonts w:ascii="Times New Roman" w:eastAsia="Times New Roman" w:hAnsi="Times New Roman" w:cs="Times New Roman"/>
          <w:spacing w:val="7"/>
          <w:sz w:val="28"/>
          <w:szCs w:val="28"/>
          <w:shd w:val="clear" w:color="auto" w:fill="FFFFFF"/>
          <w:lang w:eastAsia="uk-UA"/>
        </w:rPr>
        <w:t>Більшівцівської</w:t>
      </w:r>
      <w:r w:rsidRPr="00100414">
        <w:rPr>
          <w:rFonts w:ascii="Times New Roman" w:eastAsia="Times New Roman" w:hAnsi="Times New Roman" w:cs="Times New Roman"/>
          <w:spacing w:val="7"/>
          <w:sz w:val="28"/>
          <w:szCs w:val="28"/>
          <w:shd w:val="clear" w:color="auto" w:fill="FFFFFF"/>
          <w:lang w:eastAsia="uk-UA"/>
        </w:rPr>
        <w:t xml:space="preserve"> територіальної громади з урахуванням позитивної динаміки у порівнянні з попередніми роками;</w:t>
      </w:r>
    </w:p>
    <w:p w:rsidR="00902052" w:rsidRPr="004659DE" w:rsidRDefault="00902052" w:rsidP="004659DE">
      <w:pPr>
        <w:spacing w:after="120" w:line="240" w:lineRule="auto"/>
        <w:ind w:firstLine="567"/>
        <w:jc w:val="both"/>
        <w:rPr>
          <w:rFonts w:ascii="Times New Roman" w:hAnsi="Times New Roman"/>
          <w:color w:val="000000"/>
          <w:sz w:val="28"/>
          <w:szCs w:val="28"/>
        </w:rPr>
      </w:pPr>
      <w:r w:rsidRPr="004659DE">
        <w:rPr>
          <w:rFonts w:ascii="Times New Roman" w:eastAsia="Times New Roman" w:hAnsi="Times New Roman" w:cs="Times New Roman"/>
          <w:spacing w:val="7"/>
          <w:sz w:val="28"/>
          <w:szCs w:val="28"/>
          <w:shd w:val="clear" w:color="auto" w:fill="FFFFFF"/>
          <w:lang w:eastAsia="uk-UA"/>
        </w:rPr>
        <w:t>-   </w:t>
      </w:r>
      <w:r w:rsidR="004659DE" w:rsidRPr="004659DE">
        <w:rPr>
          <w:rFonts w:ascii="Times New Roman" w:eastAsia="Times New Roman" w:hAnsi="Times New Roman" w:cs="Times New Roman"/>
          <w:spacing w:val="7"/>
          <w:sz w:val="28"/>
          <w:szCs w:val="28"/>
          <w:shd w:val="clear" w:color="auto" w:fill="FFFFFF"/>
          <w:lang w:eastAsia="uk-UA"/>
        </w:rPr>
        <w:t>з</w:t>
      </w:r>
      <w:r w:rsidR="004659DE">
        <w:rPr>
          <w:rFonts w:ascii="Times New Roman" w:hAnsi="Times New Roman"/>
          <w:sz w:val="28"/>
          <w:szCs w:val="28"/>
        </w:rPr>
        <w:t xml:space="preserve"> метою підвищення </w:t>
      </w:r>
      <w:r w:rsidR="004659DE" w:rsidRPr="007B0434">
        <w:rPr>
          <w:rFonts w:ascii="Times New Roman" w:hAnsi="Times New Roman"/>
          <w:iCs/>
          <w:sz w:val="28"/>
          <w:szCs w:val="28"/>
        </w:rPr>
        <w:t xml:space="preserve">рівня </w:t>
      </w:r>
      <w:r w:rsidR="004659DE" w:rsidRPr="00F42B92">
        <w:rPr>
          <w:rFonts w:ascii="Times New Roman" w:hAnsi="Times New Roman"/>
          <w:sz w:val="28"/>
          <w:szCs w:val="28"/>
        </w:rPr>
        <w:t>прозорості бюджетного процесу</w:t>
      </w:r>
      <w:r w:rsidR="004659DE">
        <w:rPr>
          <w:rFonts w:ascii="Times New Roman" w:hAnsi="Times New Roman"/>
          <w:sz w:val="28"/>
          <w:szCs w:val="28"/>
        </w:rPr>
        <w:t>, а також</w:t>
      </w:r>
      <w:r w:rsidR="004659DE" w:rsidRPr="007B0434">
        <w:rPr>
          <w:rFonts w:ascii="Times New Roman" w:hAnsi="Times New Roman"/>
          <w:iCs/>
          <w:sz w:val="28"/>
          <w:szCs w:val="28"/>
        </w:rPr>
        <w:t xml:space="preserve"> доступності інформації про </w:t>
      </w:r>
      <w:r w:rsidR="004659DE" w:rsidRPr="009F51DF">
        <w:rPr>
          <w:rFonts w:ascii="Times New Roman" w:hAnsi="Times New Roman"/>
          <w:iCs/>
          <w:sz w:val="28"/>
          <w:szCs w:val="28"/>
        </w:rPr>
        <w:t>бюджет та бюджетний процес</w:t>
      </w:r>
      <w:r w:rsidR="004659DE" w:rsidRPr="009F51DF">
        <w:rPr>
          <w:rFonts w:ascii="Times New Roman" w:hAnsi="Times New Roman"/>
          <w:sz w:val="28"/>
          <w:szCs w:val="28"/>
        </w:rPr>
        <w:t xml:space="preserve"> вживатимуться заходи щодо залучення громадян до процесу планування та виконання бюджету, використовуючи при цьому усі можливі механізми, в тому числі механізм «бюджету участі», який </w:t>
      </w:r>
      <w:r w:rsidR="004659DE" w:rsidRPr="009F51DF">
        <w:rPr>
          <w:rFonts w:ascii="Times New Roman" w:hAnsi="Times New Roman"/>
          <w:color w:val="000000"/>
          <w:sz w:val="28"/>
          <w:szCs w:val="28"/>
        </w:rPr>
        <w:t xml:space="preserve">надає можливість кожному жителю </w:t>
      </w:r>
      <w:r w:rsidR="004659DE">
        <w:rPr>
          <w:rFonts w:ascii="Times New Roman" w:hAnsi="Times New Roman"/>
          <w:color w:val="000000"/>
          <w:sz w:val="28"/>
          <w:szCs w:val="28"/>
        </w:rPr>
        <w:t xml:space="preserve">громади </w:t>
      </w:r>
      <w:r w:rsidR="004659DE" w:rsidRPr="009F51DF">
        <w:rPr>
          <w:rFonts w:ascii="Times New Roman" w:hAnsi="Times New Roman"/>
          <w:color w:val="000000"/>
          <w:sz w:val="28"/>
          <w:szCs w:val="28"/>
        </w:rPr>
        <w:lastRenderedPageBreak/>
        <w:t xml:space="preserve">брати участь в розподілі коштів місцевого бюджету через </w:t>
      </w:r>
      <w:r w:rsidR="004659DE">
        <w:rPr>
          <w:rFonts w:ascii="Times New Roman" w:hAnsi="Times New Roman"/>
          <w:color w:val="000000"/>
          <w:sz w:val="28"/>
          <w:szCs w:val="28"/>
        </w:rPr>
        <w:t xml:space="preserve">розробку та реалізацію </w:t>
      </w:r>
      <w:r w:rsidR="004659DE" w:rsidRPr="009F51DF">
        <w:rPr>
          <w:rFonts w:ascii="Times New Roman" w:hAnsi="Times New Roman"/>
          <w:color w:val="000000"/>
          <w:sz w:val="28"/>
          <w:szCs w:val="28"/>
        </w:rPr>
        <w:t>проектів</w:t>
      </w:r>
      <w:r w:rsidR="004659DE">
        <w:rPr>
          <w:rFonts w:ascii="Times New Roman" w:hAnsi="Times New Roman"/>
          <w:color w:val="000000"/>
          <w:sz w:val="28"/>
          <w:szCs w:val="28"/>
        </w:rPr>
        <w:t xml:space="preserve"> розвитку.</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здійснення видатків бюджету відповідно до соціальних стандартів;</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   забезпечення необхідних фінансових пропорцій згідно з планом економічного і соціального розвитку територіальної громади;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 стимулювання інвестиційної складової бюджету розвитку територіальної громади .</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Основними завданнями Прогнозу є:</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підвищення результативності та ефективності управління бюджетними коштами;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xml:space="preserve">- забезпечення виконання доходної частини бюджету </w:t>
      </w:r>
      <w:r w:rsidR="00100414" w:rsidRPr="00F736AB">
        <w:rPr>
          <w:rFonts w:ascii="Times New Roman" w:eastAsia="Times New Roman" w:hAnsi="Times New Roman" w:cs="Times New Roman"/>
          <w:spacing w:val="7"/>
          <w:sz w:val="28"/>
          <w:szCs w:val="28"/>
          <w:shd w:val="clear" w:color="auto" w:fill="FFFFFF"/>
          <w:lang w:eastAsia="uk-UA"/>
        </w:rPr>
        <w:t xml:space="preserve">Більшівцівської </w:t>
      </w:r>
      <w:r w:rsidRPr="00F736AB">
        <w:rPr>
          <w:rFonts w:ascii="Times New Roman" w:eastAsia="Times New Roman" w:hAnsi="Times New Roman" w:cs="Times New Roman"/>
          <w:spacing w:val="7"/>
          <w:sz w:val="28"/>
          <w:szCs w:val="28"/>
          <w:shd w:val="clear" w:color="auto" w:fill="FFFFFF"/>
          <w:lang w:eastAsia="uk-UA"/>
        </w:rPr>
        <w:t>територіальної громади відповідно до показників, затверджених селищною радою;</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xml:space="preserve">- вжиття заходів до залучення додаткових надходжень до бюджету </w:t>
      </w:r>
      <w:r w:rsidR="00100414" w:rsidRPr="00F736AB">
        <w:rPr>
          <w:rFonts w:ascii="Times New Roman" w:eastAsia="Times New Roman" w:hAnsi="Times New Roman" w:cs="Times New Roman"/>
          <w:spacing w:val="7"/>
          <w:sz w:val="28"/>
          <w:szCs w:val="28"/>
          <w:shd w:val="clear" w:color="auto" w:fill="FFFFFF"/>
          <w:lang w:eastAsia="uk-UA"/>
        </w:rPr>
        <w:t xml:space="preserve">Більшівцівської </w:t>
      </w:r>
      <w:r w:rsidRPr="00F736AB">
        <w:rPr>
          <w:rFonts w:ascii="Times New Roman" w:eastAsia="Times New Roman" w:hAnsi="Times New Roman" w:cs="Times New Roman"/>
          <w:spacing w:val="7"/>
          <w:sz w:val="28"/>
          <w:szCs w:val="28"/>
          <w:shd w:val="clear" w:color="auto" w:fill="FFFFFF"/>
          <w:lang w:eastAsia="uk-UA"/>
        </w:rPr>
        <w:t>територіальної громади, зокрема, шляхом забезпечення ефективного управління об’єктами комунальної власності та земельними ресурсами;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підвищення ефективності управління бюджетними коштами шляхом застосування дієвих методів економії бюджетних коштів;</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забезпечення стабільного функціонування бюджетних установ та виконання заходів, передбачених цільовими (комплексними) програмами;</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 запровадження дієвих заходів з енергозбереження.</w:t>
      </w:r>
    </w:p>
    <w:p w:rsidR="00902052" w:rsidRPr="00F736AB"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shd w:val="clear" w:color="auto" w:fill="FFFFFF"/>
          <w:lang w:eastAsia="uk-UA"/>
        </w:rPr>
        <w:t xml:space="preserve">Прогноз бюджету </w:t>
      </w:r>
      <w:r w:rsidR="006C5B79" w:rsidRPr="00F736AB">
        <w:rPr>
          <w:rFonts w:ascii="Times New Roman" w:eastAsia="Times New Roman" w:hAnsi="Times New Roman" w:cs="Times New Roman"/>
          <w:spacing w:val="7"/>
          <w:sz w:val="28"/>
          <w:szCs w:val="28"/>
          <w:shd w:val="clear" w:color="auto" w:fill="FFFFFF"/>
          <w:lang w:eastAsia="uk-UA"/>
        </w:rPr>
        <w:t xml:space="preserve">Більшівцівської </w:t>
      </w:r>
      <w:r w:rsidRPr="00F736AB">
        <w:rPr>
          <w:rFonts w:ascii="Times New Roman" w:eastAsia="Times New Roman" w:hAnsi="Times New Roman" w:cs="Times New Roman"/>
          <w:spacing w:val="7"/>
          <w:sz w:val="28"/>
          <w:szCs w:val="28"/>
          <w:shd w:val="clear" w:color="auto" w:fill="FFFFFF"/>
          <w:lang w:eastAsia="uk-UA"/>
        </w:rPr>
        <w:t>територіальної громади на 2022-2024 роки зорієнтований на формування сприятливого економічного середовища, забезпечення збалансованості та стабільного функціонування бюджетної системи, встановлення взаємозв’язку між соціально-економічними цілями розвитку регіону і можливостями бюджету, забезпечення виконання гарантованих державою соціальних зобов’язань.</w:t>
      </w:r>
    </w:p>
    <w:p w:rsidR="00902052" w:rsidRPr="002C4C98" w:rsidRDefault="00902052" w:rsidP="002C4C98">
      <w:pPr>
        <w:spacing w:after="120" w:line="240" w:lineRule="auto"/>
        <w:ind w:firstLine="567"/>
        <w:jc w:val="both"/>
        <w:rPr>
          <w:rFonts w:ascii="Times New Roman" w:hAnsi="Times New Roman"/>
          <w:sz w:val="28"/>
          <w:szCs w:val="28"/>
        </w:rPr>
      </w:pPr>
      <w:r w:rsidRPr="00F736AB">
        <w:rPr>
          <w:rFonts w:ascii="Times New Roman" w:eastAsia="Times New Roman" w:hAnsi="Times New Roman" w:cs="Times New Roman"/>
          <w:spacing w:val="7"/>
          <w:sz w:val="28"/>
          <w:szCs w:val="28"/>
          <w:lang w:eastAsia="uk-UA"/>
        </w:rPr>
        <w:t xml:space="preserve">Прогноз </w:t>
      </w:r>
      <w:r w:rsidR="002C4C98" w:rsidRPr="00517D89">
        <w:rPr>
          <w:rFonts w:ascii="Times New Roman" w:hAnsi="Times New Roman"/>
          <w:color w:val="000000"/>
          <w:sz w:val="28"/>
          <w:szCs w:val="28"/>
          <w:shd w:val="clear" w:color="auto" w:fill="FFFFFF"/>
        </w:rPr>
        <w:t xml:space="preserve">враховує </w:t>
      </w:r>
      <w:r w:rsidR="002C4C98">
        <w:rPr>
          <w:rFonts w:ascii="Times New Roman" w:hAnsi="Times New Roman"/>
          <w:color w:val="000000"/>
          <w:sz w:val="28"/>
          <w:szCs w:val="28"/>
          <w:shd w:val="clear" w:color="auto" w:fill="FFFFFF"/>
        </w:rPr>
        <w:t xml:space="preserve">положення </w:t>
      </w:r>
      <w:r w:rsidR="002C4C98">
        <w:rPr>
          <w:rFonts w:ascii="Times New Roman" w:hAnsi="Times New Roman"/>
          <w:sz w:val="28"/>
          <w:szCs w:val="28"/>
        </w:rPr>
        <w:t>Стратегії розвитку</w:t>
      </w:r>
      <w:r w:rsidR="002C4C98" w:rsidRPr="002C4C98">
        <w:rPr>
          <w:rFonts w:ascii="Times New Roman" w:eastAsia="Times New Roman" w:hAnsi="Times New Roman" w:cs="Times New Roman"/>
          <w:spacing w:val="7"/>
          <w:sz w:val="28"/>
          <w:szCs w:val="28"/>
          <w:lang w:eastAsia="uk-UA"/>
        </w:rPr>
        <w:t xml:space="preserve"> </w:t>
      </w:r>
      <w:r w:rsidR="002C4C98" w:rsidRPr="00F736AB">
        <w:rPr>
          <w:rFonts w:ascii="Times New Roman" w:eastAsia="Times New Roman" w:hAnsi="Times New Roman" w:cs="Times New Roman"/>
          <w:spacing w:val="7"/>
          <w:sz w:val="28"/>
          <w:szCs w:val="28"/>
          <w:lang w:eastAsia="uk-UA"/>
        </w:rPr>
        <w:t>Більшівцівської  територіальної громади</w:t>
      </w:r>
      <w:r w:rsidR="002C4C98">
        <w:rPr>
          <w:rFonts w:ascii="Times New Roman" w:hAnsi="Times New Roman"/>
          <w:sz w:val="28"/>
          <w:szCs w:val="28"/>
        </w:rPr>
        <w:t xml:space="preserve">, затвердженої рішенням Більшівцівської селищної ради  і </w:t>
      </w:r>
      <w:r w:rsidR="002C4C98" w:rsidRPr="00400095">
        <w:rPr>
          <w:rFonts w:ascii="Times New Roman" w:hAnsi="Times New Roman"/>
          <w:sz w:val="28"/>
          <w:szCs w:val="28"/>
        </w:rPr>
        <w:t xml:space="preserve">місцевих програм </w:t>
      </w:r>
      <w:r w:rsidR="002C4C98" w:rsidRPr="00F736AB">
        <w:rPr>
          <w:rFonts w:ascii="Times New Roman" w:eastAsia="Times New Roman" w:hAnsi="Times New Roman" w:cs="Times New Roman"/>
          <w:spacing w:val="7"/>
          <w:sz w:val="28"/>
          <w:szCs w:val="28"/>
          <w:lang w:eastAsia="uk-UA"/>
        </w:rPr>
        <w:t>соціальн</w:t>
      </w:r>
      <w:r w:rsidR="002C4C98">
        <w:rPr>
          <w:rFonts w:ascii="Times New Roman" w:eastAsia="Times New Roman" w:hAnsi="Times New Roman" w:cs="Times New Roman"/>
          <w:spacing w:val="7"/>
          <w:sz w:val="28"/>
          <w:szCs w:val="28"/>
          <w:lang w:eastAsia="uk-UA"/>
        </w:rPr>
        <w:t xml:space="preserve">о-економічного </w:t>
      </w:r>
      <w:r w:rsidR="002C4C98" w:rsidRPr="00400095">
        <w:rPr>
          <w:rFonts w:ascii="Times New Roman" w:hAnsi="Times New Roman"/>
          <w:sz w:val="28"/>
          <w:szCs w:val="28"/>
          <w:lang w:eastAsia="uk-UA"/>
        </w:rPr>
        <w:t>розвитку громади на відповідний період</w:t>
      </w:r>
      <w:r w:rsidRPr="00F736AB">
        <w:rPr>
          <w:rFonts w:ascii="Times New Roman" w:eastAsia="Times New Roman" w:hAnsi="Times New Roman" w:cs="Times New Roman"/>
          <w:spacing w:val="7"/>
          <w:sz w:val="28"/>
          <w:szCs w:val="28"/>
          <w:lang w:eastAsia="uk-UA"/>
        </w:rPr>
        <w:t xml:space="preserve"> затверджених селищною радою на 2021р, і які будуть виконуватися протягом планового періоду, а саме:</w:t>
      </w:r>
    </w:p>
    <w:p w:rsidR="00902052" w:rsidRDefault="00902052"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lang w:eastAsia="uk-UA"/>
        </w:rPr>
        <w:t>Програма фінансової підтримки Комунального некомерційного підприємства «</w:t>
      </w:r>
      <w:proofErr w:type="spellStart"/>
      <w:r w:rsidR="00F736AB">
        <w:rPr>
          <w:rFonts w:ascii="Times New Roman" w:eastAsia="Times New Roman" w:hAnsi="Times New Roman" w:cs="Times New Roman"/>
          <w:spacing w:val="7"/>
          <w:sz w:val="28"/>
          <w:szCs w:val="28"/>
          <w:lang w:eastAsia="uk-UA"/>
        </w:rPr>
        <w:t>Більшівцівська</w:t>
      </w:r>
      <w:proofErr w:type="spellEnd"/>
      <w:r w:rsidR="00F736AB">
        <w:rPr>
          <w:rFonts w:ascii="Times New Roman" w:eastAsia="Times New Roman" w:hAnsi="Times New Roman" w:cs="Times New Roman"/>
          <w:spacing w:val="7"/>
          <w:sz w:val="28"/>
          <w:szCs w:val="28"/>
          <w:lang w:eastAsia="uk-UA"/>
        </w:rPr>
        <w:t xml:space="preserve"> міська лікарня</w:t>
      </w:r>
      <w:r w:rsidR="00F14D21" w:rsidRPr="00F14D21">
        <w:rPr>
          <w:rFonts w:ascii="Times New Roman" w:eastAsia="Times New Roman" w:hAnsi="Times New Roman" w:cs="Times New Roman"/>
          <w:spacing w:val="7"/>
          <w:sz w:val="28"/>
          <w:szCs w:val="28"/>
          <w:lang w:eastAsia="uk-UA"/>
        </w:rPr>
        <w:t xml:space="preserve"> </w:t>
      </w:r>
      <w:r w:rsidR="00F14D21">
        <w:rPr>
          <w:rFonts w:ascii="Times New Roman" w:eastAsia="Times New Roman" w:hAnsi="Times New Roman" w:cs="Times New Roman"/>
          <w:spacing w:val="7"/>
          <w:sz w:val="28"/>
          <w:szCs w:val="28"/>
          <w:lang w:eastAsia="uk-UA"/>
        </w:rPr>
        <w:t>Більшівцівської селищної ради»</w:t>
      </w:r>
      <w:r w:rsidRPr="00F736AB">
        <w:rPr>
          <w:rFonts w:ascii="Times New Roman" w:eastAsia="Times New Roman" w:hAnsi="Times New Roman" w:cs="Times New Roman"/>
          <w:spacing w:val="7"/>
          <w:sz w:val="28"/>
          <w:szCs w:val="28"/>
          <w:lang w:eastAsia="uk-UA"/>
        </w:rPr>
        <w:t>;</w:t>
      </w:r>
    </w:p>
    <w:p w:rsidR="00F14D21" w:rsidRDefault="00F14D21" w:rsidP="00F14D21">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F736AB">
        <w:rPr>
          <w:rFonts w:ascii="Times New Roman" w:eastAsia="Times New Roman" w:hAnsi="Times New Roman" w:cs="Times New Roman"/>
          <w:spacing w:val="7"/>
          <w:sz w:val="28"/>
          <w:szCs w:val="28"/>
          <w:lang w:eastAsia="uk-UA"/>
        </w:rPr>
        <w:lastRenderedPageBreak/>
        <w:t>Програма фінансової підтримки Комунального некомерційного підприємства «</w:t>
      </w:r>
      <w:r>
        <w:rPr>
          <w:rFonts w:ascii="Times New Roman" w:eastAsia="Times New Roman" w:hAnsi="Times New Roman" w:cs="Times New Roman"/>
          <w:spacing w:val="7"/>
          <w:sz w:val="28"/>
          <w:szCs w:val="28"/>
          <w:lang w:eastAsia="uk-UA"/>
        </w:rPr>
        <w:t>Центру ПМСД Більшівцівської селищної ради»</w:t>
      </w:r>
      <w:r w:rsidRPr="00F736AB">
        <w:rPr>
          <w:rFonts w:ascii="Times New Roman" w:eastAsia="Times New Roman" w:hAnsi="Times New Roman" w:cs="Times New Roman"/>
          <w:spacing w:val="7"/>
          <w:sz w:val="28"/>
          <w:szCs w:val="28"/>
          <w:lang w:eastAsia="uk-UA"/>
        </w:rPr>
        <w:t>;</w:t>
      </w:r>
    </w:p>
    <w:p w:rsidR="00981CC7" w:rsidRPr="00662BA8" w:rsidRDefault="00F14D21" w:rsidP="00F14D21">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lang w:eastAsia="uk-UA"/>
        </w:rPr>
        <w:t>Програма соціального захисту населення Більшівцівської   селищної ради;</w:t>
      </w:r>
    </w:p>
    <w:p w:rsidR="00F14D21" w:rsidRPr="00662BA8" w:rsidRDefault="00F14D21"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z w:val="28"/>
          <w:szCs w:val="28"/>
          <w:lang w:eastAsia="uk-UA"/>
        </w:rPr>
        <w:t>Програма розвитку фізичної культури і спорту Більшівцівської селищної ради  на 2021р</w:t>
      </w:r>
    </w:p>
    <w:p w:rsidR="00902052" w:rsidRPr="00662BA8" w:rsidRDefault="00F14D21"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lang w:eastAsia="uk-UA"/>
        </w:rPr>
        <w:t>Програма Бюджету участі Більшівцівської селищної ради.</w:t>
      </w:r>
    </w:p>
    <w:p w:rsidR="00F14D21" w:rsidRPr="00662BA8" w:rsidRDefault="00F14D21"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z w:val="28"/>
          <w:szCs w:val="28"/>
          <w:lang w:eastAsia="uk-UA"/>
        </w:rPr>
        <w:t>Програма розвитку земельних ресурсів на території населених пунктів Б</w:t>
      </w:r>
      <w:r w:rsidR="00281944">
        <w:rPr>
          <w:rFonts w:ascii="Times New Roman" w:eastAsia="Times New Roman" w:hAnsi="Times New Roman" w:cs="Times New Roman"/>
          <w:sz w:val="28"/>
          <w:szCs w:val="28"/>
          <w:lang w:eastAsia="uk-UA"/>
        </w:rPr>
        <w:t>ільшівцівської селищної ради ТГ</w:t>
      </w:r>
      <w:r w:rsidRPr="00662BA8">
        <w:rPr>
          <w:rFonts w:ascii="Times New Roman" w:eastAsia="Times New Roman" w:hAnsi="Times New Roman" w:cs="Times New Roman"/>
          <w:sz w:val="28"/>
          <w:szCs w:val="28"/>
          <w:lang w:eastAsia="uk-UA"/>
        </w:rPr>
        <w:t>.</w:t>
      </w:r>
    </w:p>
    <w:p w:rsidR="00F14D21" w:rsidRPr="00662BA8" w:rsidRDefault="00281944"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z w:val="28"/>
          <w:szCs w:val="28"/>
          <w:lang w:eastAsia="uk-UA"/>
        </w:rPr>
        <w:t>Програма інформатизації</w:t>
      </w:r>
      <w:r w:rsidR="00F14D21" w:rsidRPr="00662BA8">
        <w:rPr>
          <w:rFonts w:ascii="Times New Roman" w:eastAsia="Times New Roman" w:hAnsi="Times New Roman" w:cs="Times New Roman"/>
          <w:sz w:val="28"/>
          <w:szCs w:val="28"/>
          <w:lang w:eastAsia="uk-UA"/>
        </w:rPr>
        <w:t>.</w:t>
      </w:r>
    </w:p>
    <w:p w:rsidR="00902052" w:rsidRPr="004659DE" w:rsidRDefault="00902052" w:rsidP="00902052">
      <w:pPr>
        <w:numPr>
          <w:ilvl w:val="0"/>
          <w:numId w:val="2"/>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shd w:val="clear" w:color="auto" w:fill="FFFFFF"/>
          <w:lang w:eastAsia="uk-UA"/>
        </w:rPr>
        <w:t>Програма</w:t>
      </w:r>
      <w:r w:rsidR="00F14D21" w:rsidRPr="00662BA8">
        <w:rPr>
          <w:rFonts w:ascii="Times New Roman" w:eastAsia="Times New Roman" w:hAnsi="Times New Roman" w:cs="Times New Roman"/>
          <w:spacing w:val="7"/>
          <w:sz w:val="28"/>
          <w:szCs w:val="28"/>
          <w:shd w:val="clear" w:color="auto" w:fill="FFFFFF"/>
          <w:lang w:eastAsia="uk-UA"/>
        </w:rPr>
        <w:t xml:space="preserve"> природоохоронних заходів з </w:t>
      </w:r>
      <w:r w:rsidRPr="00662BA8">
        <w:rPr>
          <w:rFonts w:ascii="Times New Roman" w:eastAsia="Times New Roman" w:hAnsi="Times New Roman" w:cs="Times New Roman"/>
          <w:spacing w:val="7"/>
          <w:sz w:val="28"/>
          <w:szCs w:val="28"/>
          <w:shd w:val="clear" w:color="auto" w:fill="FFFFFF"/>
          <w:lang w:eastAsia="uk-UA"/>
        </w:rPr>
        <w:t xml:space="preserve"> охорони навколишнього середовища </w:t>
      </w:r>
      <w:r w:rsidR="00662BA8" w:rsidRPr="00662BA8">
        <w:rPr>
          <w:rFonts w:ascii="Times New Roman" w:eastAsia="Times New Roman" w:hAnsi="Times New Roman" w:cs="Times New Roman"/>
          <w:spacing w:val="7"/>
          <w:sz w:val="28"/>
          <w:szCs w:val="28"/>
          <w:shd w:val="clear" w:color="auto" w:fill="FFFFFF"/>
          <w:lang w:eastAsia="uk-UA"/>
        </w:rPr>
        <w:t xml:space="preserve">Більшівцівської </w:t>
      </w:r>
      <w:r w:rsidRPr="00662BA8">
        <w:rPr>
          <w:rFonts w:ascii="Times New Roman" w:eastAsia="Times New Roman" w:hAnsi="Times New Roman" w:cs="Times New Roman"/>
          <w:spacing w:val="7"/>
          <w:sz w:val="28"/>
          <w:szCs w:val="28"/>
          <w:shd w:val="clear" w:color="auto" w:fill="FFFFFF"/>
          <w:lang w:eastAsia="uk-UA"/>
        </w:rPr>
        <w:t xml:space="preserve"> селищної ради.</w:t>
      </w:r>
    </w:p>
    <w:p w:rsidR="004659DE" w:rsidRPr="00662BA8" w:rsidRDefault="004659DE" w:rsidP="004659DE">
      <w:p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p>
    <w:p w:rsidR="00902052" w:rsidRPr="00662BA8" w:rsidRDefault="00902052" w:rsidP="00662BA8">
      <w:pPr>
        <w:shd w:val="clear" w:color="auto" w:fill="FFFFFF"/>
        <w:spacing w:after="160" w:line="240" w:lineRule="auto"/>
        <w:ind w:left="720"/>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lang w:eastAsia="uk-UA"/>
        </w:rPr>
        <w:t> </w:t>
      </w:r>
      <w:r w:rsidRPr="00662BA8">
        <w:rPr>
          <w:rFonts w:ascii="Times New Roman" w:eastAsia="Times New Roman" w:hAnsi="Times New Roman" w:cs="Times New Roman"/>
          <w:spacing w:val="7"/>
          <w:sz w:val="28"/>
          <w:szCs w:val="28"/>
          <w:shd w:val="clear" w:color="auto" w:fill="FFFFFF"/>
          <w:lang w:eastAsia="uk-UA"/>
        </w:rPr>
        <w:t xml:space="preserve">Невиконання прогнозних показників бюджету </w:t>
      </w:r>
      <w:r w:rsidR="00662BA8" w:rsidRPr="00662BA8">
        <w:rPr>
          <w:rFonts w:ascii="Times New Roman" w:eastAsia="Times New Roman" w:hAnsi="Times New Roman" w:cs="Times New Roman"/>
          <w:spacing w:val="7"/>
          <w:sz w:val="28"/>
          <w:szCs w:val="28"/>
          <w:shd w:val="clear" w:color="auto" w:fill="FFFFFF"/>
          <w:lang w:eastAsia="uk-UA"/>
        </w:rPr>
        <w:t xml:space="preserve">Більшівцівської </w:t>
      </w:r>
      <w:r w:rsidRPr="00662BA8">
        <w:rPr>
          <w:rFonts w:ascii="Times New Roman" w:eastAsia="Times New Roman" w:hAnsi="Times New Roman" w:cs="Times New Roman"/>
          <w:spacing w:val="7"/>
          <w:sz w:val="28"/>
          <w:szCs w:val="28"/>
          <w:shd w:val="clear" w:color="auto" w:fill="FFFFFF"/>
          <w:lang w:eastAsia="uk-UA"/>
        </w:rPr>
        <w:t xml:space="preserve">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662BA8">
        <w:rPr>
          <w:rFonts w:ascii="Times New Roman" w:eastAsia="Times New Roman" w:hAnsi="Times New Roman" w:cs="Times New Roman"/>
          <w:spacing w:val="7"/>
          <w:sz w:val="28"/>
          <w:szCs w:val="28"/>
          <w:shd w:val="clear" w:color="auto" w:fill="FFFFFF"/>
          <w:lang w:eastAsia="uk-UA"/>
        </w:rPr>
        <w:t>коронавірусної</w:t>
      </w:r>
      <w:proofErr w:type="spellEnd"/>
      <w:r w:rsidRPr="00662BA8">
        <w:rPr>
          <w:rFonts w:ascii="Times New Roman" w:eastAsia="Times New Roman" w:hAnsi="Times New Roman" w:cs="Times New Roman"/>
          <w:spacing w:val="7"/>
          <w:sz w:val="28"/>
          <w:szCs w:val="28"/>
          <w:shd w:val="clear" w:color="auto" w:fill="FFFFFF"/>
          <w:lang w:eastAsia="uk-UA"/>
        </w:rPr>
        <w:t xml:space="preserve"> інфекції COVID – 19, невідповідності основних прогнозних показників економічного і соціального розвитку </w:t>
      </w:r>
      <w:r w:rsidR="00662BA8" w:rsidRPr="00662BA8">
        <w:rPr>
          <w:rFonts w:ascii="Times New Roman" w:eastAsia="Times New Roman" w:hAnsi="Times New Roman" w:cs="Times New Roman"/>
          <w:spacing w:val="7"/>
          <w:sz w:val="28"/>
          <w:szCs w:val="28"/>
          <w:shd w:val="clear" w:color="auto" w:fill="FFFFFF"/>
          <w:lang w:eastAsia="uk-UA"/>
        </w:rPr>
        <w:t xml:space="preserve">Більшівцівської </w:t>
      </w:r>
      <w:r w:rsidRPr="00662BA8">
        <w:rPr>
          <w:rFonts w:ascii="Times New Roman" w:eastAsia="Times New Roman" w:hAnsi="Times New Roman" w:cs="Times New Roman"/>
          <w:spacing w:val="7"/>
          <w:sz w:val="28"/>
          <w:szCs w:val="28"/>
          <w:shd w:val="clear" w:color="auto" w:fill="FFFFFF"/>
          <w:lang w:eastAsia="uk-UA"/>
        </w:rPr>
        <w:t xml:space="preserve"> територіальної громади показникам, врахованим під час формування прогнозу. Також 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 демографічний спад, старіння населення, міграція.</w:t>
      </w:r>
    </w:p>
    <w:p w:rsidR="00902052" w:rsidRPr="00662BA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662BA8">
        <w:rPr>
          <w:rFonts w:ascii="Times New Roman" w:eastAsia="Times New Roman" w:hAnsi="Times New Roman" w:cs="Times New Roman"/>
          <w:spacing w:val="7"/>
          <w:sz w:val="28"/>
          <w:szCs w:val="28"/>
          <w:shd w:val="clear" w:color="auto" w:fill="FFFFFF"/>
          <w:lang w:eastAsia="uk-UA"/>
        </w:rPr>
        <w:t xml:space="preserve">Заходами з мінімізації впливу фіскальних ризиків на показники бюджету є здійснення заходів з </w:t>
      </w:r>
      <w:proofErr w:type="spellStart"/>
      <w:r w:rsidRPr="00662BA8">
        <w:rPr>
          <w:rFonts w:ascii="Times New Roman" w:eastAsia="Times New Roman" w:hAnsi="Times New Roman" w:cs="Times New Roman"/>
          <w:spacing w:val="7"/>
          <w:sz w:val="28"/>
          <w:szCs w:val="28"/>
          <w:shd w:val="clear" w:color="auto" w:fill="FFFFFF"/>
          <w:lang w:eastAsia="uk-UA"/>
        </w:rPr>
        <w:t>енергоощадження</w:t>
      </w:r>
      <w:proofErr w:type="spellEnd"/>
      <w:r w:rsidRPr="00662BA8">
        <w:rPr>
          <w:rFonts w:ascii="Times New Roman" w:eastAsia="Times New Roman" w:hAnsi="Times New Roman" w:cs="Times New Roman"/>
          <w:spacing w:val="7"/>
          <w:sz w:val="28"/>
          <w:szCs w:val="28"/>
          <w:shd w:val="clear" w:color="auto" w:fill="FFFFFF"/>
          <w:lang w:eastAsia="uk-UA"/>
        </w:rPr>
        <w:t>, покращення адміністрування податків і зборів, зниження частки тіньової економіки, підвищення інвестиційної привабливості громади.</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6F14BA"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6F14BA">
        <w:rPr>
          <w:rFonts w:ascii="Times New Roman" w:eastAsia="Times New Roman" w:hAnsi="Times New Roman" w:cs="Times New Roman"/>
          <w:b/>
          <w:bCs/>
          <w:spacing w:val="7"/>
          <w:sz w:val="28"/>
          <w:szCs w:val="28"/>
          <w:shd w:val="clear" w:color="auto" w:fill="FFFFFF"/>
          <w:lang w:eastAsia="uk-UA"/>
        </w:rPr>
        <w:t>ІІ. Основні прогнозні показники економічного та соціального розвитку</w:t>
      </w:r>
    </w:p>
    <w:p w:rsidR="00E51787"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6F14BA">
        <w:rPr>
          <w:rFonts w:ascii="Times New Roman" w:eastAsia="Times New Roman" w:hAnsi="Times New Roman" w:cs="Times New Roman"/>
          <w:spacing w:val="7"/>
          <w:sz w:val="28"/>
          <w:szCs w:val="28"/>
          <w:lang w:eastAsia="uk-UA"/>
        </w:rPr>
        <w:t xml:space="preserve">До складу </w:t>
      </w:r>
      <w:r w:rsidR="00662BA8" w:rsidRPr="006F14BA">
        <w:rPr>
          <w:rFonts w:ascii="Times New Roman" w:eastAsia="Times New Roman" w:hAnsi="Times New Roman" w:cs="Times New Roman"/>
          <w:spacing w:val="7"/>
          <w:sz w:val="28"/>
          <w:szCs w:val="28"/>
          <w:lang w:eastAsia="uk-UA"/>
        </w:rPr>
        <w:t xml:space="preserve">Більшівцівської </w:t>
      </w:r>
      <w:r w:rsidRPr="006F14BA">
        <w:rPr>
          <w:rFonts w:ascii="Times New Roman" w:eastAsia="Times New Roman" w:hAnsi="Times New Roman" w:cs="Times New Roman"/>
          <w:spacing w:val="7"/>
          <w:sz w:val="28"/>
          <w:szCs w:val="28"/>
          <w:lang w:eastAsia="uk-UA"/>
        </w:rPr>
        <w:t>територіальної громади входить 16 населених пунктів. Кількість мешканців становить  </w:t>
      </w:r>
      <w:r w:rsidR="006F14BA" w:rsidRPr="006F14BA">
        <w:rPr>
          <w:rFonts w:ascii="Times New Roman" w:eastAsia="Times New Roman" w:hAnsi="Times New Roman" w:cs="Times New Roman"/>
          <w:spacing w:val="7"/>
          <w:sz w:val="28"/>
          <w:szCs w:val="28"/>
          <w:lang w:eastAsia="uk-UA"/>
        </w:rPr>
        <w:t>7812</w:t>
      </w:r>
      <w:r w:rsidRPr="006F14BA">
        <w:rPr>
          <w:rFonts w:ascii="Times New Roman" w:eastAsia="Times New Roman" w:hAnsi="Times New Roman" w:cs="Times New Roman"/>
          <w:spacing w:val="7"/>
          <w:sz w:val="28"/>
          <w:szCs w:val="28"/>
          <w:lang w:eastAsia="uk-UA"/>
        </w:rPr>
        <w:t xml:space="preserve"> осіб.</w:t>
      </w:r>
    </w:p>
    <w:p w:rsidR="00751D6C" w:rsidRDefault="000B5EB5"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 xml:space="preserve">Зберігається тенденція природнього скорочення </w:t>
      </w:r>
      <w:proofErr w:type="spellStart"/>
      <w:r>
        <w:rPr>
          <w:rFonts w:ascii="Times New Roman" w:eastAsia="Times New Roman" w:hAnsi="Times New Roman" w:cs="Times New Roman"/>
          <w:spacing w:val="7"/>
          <w:sz w:val="28"/>
          <w:szCs w:val="28"/>
          <w:lang w:eastAsia="uk-UA"/>
        </w:rPr>
        <w:t>населення.Кількість</w:t>
      </w:r>
      <w:proofErr w:type="spellEnd"/>
      <w:r>
        <w:rPr>
          <w:rFonts w:ascii="Times New Roman" w:eastAsia="Times New Roman" w:hAnsi="Times New Roman" w:cs="Times New Roman"/>
          <w:spacing w:val="7"/>
          <w:sz w:val="28"/>
          <w:szCs w:val="28"/>
          <w:lang w:eastAsia="uk-UA"/>
        </w:rPr>
        <w:t xml:space="preserve"> померлих майже втричі перевищує кількість народжених.</w:t>
      </w:r>
      <w:r w:rsidR="00751D6C" w:rsidRPr="00751D6C">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 xml:space="preserve">Прогнозований показник на 2021 рік складає: </w:t>
      </w:r>
      <w:proofErr w:type="spellStart"/>
      <w:r w:rsidR="00751D6C">
        <w:rPr>
          <w:rFonts w:ascii="Times New Roman" w:eastAsia="Times New Roman" w:hAnsi="Times New Roman" w:cs="Times New Roman"/>
          <w:spacing w:val="7"/>
          <w:sz w:val="28"/>
          <w:szCs w:val="28"/>
          <w:lang w:eastAsia="uk-UA"/>
        </w:rPr>
        <w:t>народжених-</w:t>
      </w:r>
      <w:proofErr w:type="spellEnd"/>
      <w:r w:rsidR="00751D6C">
        <w:rPr>
          <w:rFonts w:ascii="Times New Roman" w:eastAsia="Times New Roman" w:hAnsi="Times New Roman" w:cs="Times New Roman"/>
          <w:spacing w:val="7"/>
          <w:sz w:val="28"/>
          <w:szCs w:val="28"/>
          <w:lang w:eastAsia="uk-UA"/>
        </w:rPr>
        <w:t xml:space="preserve"> 30 осіб,померлих-1</w:t>
      </w:r>
      <w:r w:rsidR="009E5693">
        <w:rPr>
          <w:rFonts w:ascii="Times New Roman" w:eastAsia="Times New Roman" w:hAnsi="Times New Roman" w:cs="Times New Roman"/>
          <w:spacing w:val="7"/>
          <w:sz w:val="28"/>
          <w:szCs w:val="28"/>
          <w:lang w:eastAsia="uk-UA"/>
        </w:rPr>
        <w:t>15</w:t>
      </w:r>
      <w:r w:rsidR="00751D6C">
        <w:rPr>
          <w:rFonts w:ascii="Times New Roman" w:eastAsia="Times New Roman" w:hAnsi="Times New Roman" w:cs="Times New Roman"/>
          <w:spacing w:val="7"/>
          <w:sz w:val="28"/>
          <w:szCs w:val="28"/>
          <w:lang w:eastAsia="uk-UA"/>
        </w:rPr>
        <w:t xml:space="preserve"> осіб.</w:t>
      </w:r>
      <w:r w:rsidR="00751D6C" w:rsidRPr="00751D6C">
        <w:rPr>
          <w:rFonts w:ascii="Times New Roman" w:eastAsia="Times New Roman" w:hAnsi="Times New Roman" w:cs="Times New Roman"/>
          <w:spacing w:val="7"/>
          <w:sz w:val="28"/>
          <w:szCs w:val="28"/>
          <w:lang w:eastAsia="uk-UA"/>
        </w:rPr>
        <w:t xml:space="preserve"> </w:t>
      </w:r>
      <w:r w:rsidR="00E51787">
        <w:rPr>
          <w:rFonts w:ascii="Times New Roman" w:eastAsia="Times New Roman" w:hAnsi="Times New Roman" w:cs="Times New Roman"/>
          <w:spacing w:val="7"/>
          <w:sz w:val="28"/>
          <w:szCs w:val="28"/>
          <w:lang w:eastAsia="uk-UA"/>
        </w:rPr>
        <w:t xml:space="preserve"> Прогнозований показник на 2022 рік складає: </w:t>
      </w:r>
      <w:proofErr w:type="spellStart"/>
      <w:r w:rsidR="00E51787">
        <w:rPr>
          <w:rFonts w:ascii="Times New Roman" w:eastAsia="Times New Roman" w:hAnsi="Times New Roman" w:cs="Times New Roman"/>
          <w:spacing w:val="7"/>
          <w:sz w:val="28"/>
          <w:szCs w:val="28"/>
          <w:lang w:eastAsia="uk-UA"/>
        </w:rPr>
        <w:t>народжених</w:t>
      </w:r>
      <w:r w:rsidR="002F4CF6">
        <w:rPr>
          <w:rFonts w:ascii="Times New Roman" w:eastAsia="Times New Roman" w:hAnsi="Times New Roman" w:cs="Times New Roman"/>
          <w:spacing w:val="7"/>
          <w:sz w:val="28"/>
          <w:szCs w:val="28"/>
          <w:lang w:eastAsia="uk-UA"/>
        </w:rPr>
        <w:t>-</w:t>
      </w:r>
      <w:proofErr w:type="spellEnd"/>
      <w:r w:rsidR="002F4CF6">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40 осіб</w:t>
      </w:r>
      <w:r w:rsidR="002F4CF6">
        <w:rPr>
          <w:rFonts w:ascii="Times New Roman" w:eastAsia="Times New Roman" w:hAnsi="Times New Roman" w:cs="Times New Roman"/>
          <w:spacing w:val="7"/>
          <w:sz w:val="28"/>
          <w:szCs w:val="28"/>
          <w:lang w:eastAsia="uk-UA"/>
        </w:rPr>
        <w:t>,померлих</w:t>
      </w:r>
      <w:r w:rsidR="00751D6C">
        <w:rPr>
          <w:rFonts w:ascii="Times New Roman" w:eastAsia="Times New Roman" w:hAnsi="Times New Roman" w:cs="Times New Roman"/>
          <w:spacing w:val="7"/>
          <w:sz w:val="28"/>
          <w:szCs w:val="28"/>
          <w:lang w:eastAsia="uk-UA"/>
        </w:rPr>
        <w:t>-120 осіб.</w:t>
      </w:r>
      <w:r w:rsidR="00751D6C" w:rsidRPr="00751D6C">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 xml:space="preserve">Прогнозований показник на 2023 рік складає: </w:t>
      </w:r>
      <w:proofErr w:type="spellStart"/>
      <w:r w:rsidR="00751D6C">
        <w:rPr>
          <w:rFonts w:ascii="Times New Roman" w:eastAsia="Times New Roman" w:hAnsi="Times New Roman" w:cs="Times New Roman"/>
          <w:spacing w:val="7"/>
          <w:sz w:val="28"/>
          <w:szCs w:val="28"/>
          <w:lang w:eastAsia="uk-UA"/>
        </w:rPr>
        <w:t>народжених-</w:t>
      </w:r>
      <w:proofErr w:type="spellEnd"/>
      <w:r w:rsidR="00751D6C">
        <w:rPr>
          <w:rFonts w:ascii="Times New Roman" w:eastAsia="Times New Roman" w:hAnsi="Times New Roman" w:cs="Times New Roman"/>
          <w:spacing w:val="7"/>
          <w:sz w:val="28"/>
          <w:szCs w:val="28"/>
          <w:lang w:eastAsia="uk-UA"/>
        </w:rPr>
        <w:t xml:space="preserve"> 45 осіб,померлих-135 осіб.</w:t>
      </w:r>
      <w:r w:rsidR="002F4CF6">
        <w:rPr>
          <w:rFonts w:ascii="Times New Roman" w:eastAsia="Times New Roman" w:hAnsi="Times New Roman" w:cs="Times New Roman"/>
          <w:spacing w:val="7"/>
          <w:sz w:val="28"/>
          <w:szCs w:val="28"/>
          <w:lang w:eastAsia="uk-UA"/>
        </w:rPr>
        <w:t xml:space="preserve"> </w:t>
      </w:r>
      <w:r w:rsidR="00751D6C">
        <w:rPr>
          <w:rFonts w:ascii="Times New Roman" w:eastAsia="Times New Roman" w:hAnsi="Times New Roman" w:cs="Times New Roman"/>
          <w:spacing w:val="7"/>
          <w:sz w:val="28"/>
          <w:szCs w:val="28"/>
          <w:lang w:eastAsia="uk-UA"/>
        </w:rPr>
        <w:t xml:space="preserve">Прогнозований показник на 2024 рік складає: </w:t>
      </w:r>
      <w:proofErr w:type="spellStart"/>
      <w:r w:rsidR="00751D6C">
        <w:rPr>
          <w:rFonts w:ascii="Times New Roman" w:eastAsia="Times New Roman" w:hAnsi="Times New Roman" w:cs="Times New Roman"/>
          <w:spacing w:val="7"/>
          <w:sz w:val="28"/>
          <w:szCs w:val="28"/>
          <w:lang w:eastAsia="uk-UA"/>
        </w:rPr>
        <w:t>народжених-</w:t>
      </w:r>
      <w:proofErr w:type="spellEnd"/>
      <w:r w:rsidR="00751D6C">
        <w:rPr>
          <w:rFonts w:ascii="Times New Roman" w:eastAsia="Times New Roman" w:hAnsi="Times New Roman" w:cs="Times New Roman"/>
          <w:spacing w:val="7"/>
          <w:sz w:val="28"/>
          <w:szCs w:val="28"/>
          <w:lang w:eastAsia="uk-UA"/>
        </w:rPr>
        <w:t xml:space="preserve"> 50 осіб,померлих-140 осіб.</w:t>
      </w:r>
    </w:p>
    <w:p w:rsidR="009E5693" w:rsidRDefault="00751D6C" w:rsidP="009E5693">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Прогнозований показник</w:t>
      </w:r>
      <w:r w:rsidRPr="00100414">
        <w:rPr>
          <w:rFonts w:ascii="Times New Roman" w:eastAsia="Times New Roman" w:hAnsi="Times New Roman" w:cs="Times New Roman"/>
          <w:color w:val="FF0000"/>
          <w:spacing w:val="7"/>
          <w:sz w:val="28"/>
          <w:szCs w:val="28"/>
          <w:lang w:eastAsia="uk-UA"/>
        </w:rPr>
        <w:t xml:space="preserve"> </w:t>
      </w:r>
      <w:r>
        <w:rPr>
          <w:rFonts w:ascii="Times New Roman" w:eastAsia="Times New Roman" w:hAnsi="Times New Roman" w:cs="Times New Roman"/>
          <w:spacing w:val="7"/>
          <w:sz w:val="28"/>
          <w:szCs w:val="28"/>
          <w:lang w:eastAsia="uk-UA"/>
        </w:rPr>
        <w:t>на 202</w:t>
      </w:r>
      <w:r w:rsidR="009E5693">
        <w:rPr>
          <w:rFonts w:ascii="Times New Roman" w:eastAsia="Times New Roman" w:hAnsi="Times New Roman" w:cs="Times New Roman"/>
          <w:spacing w:val="7"/>
          <w:sz w:val="28"/>
          <w:szCs w:val="28"/>
          <w:lang w:eastAsia="uk-UA"/>
        </w:rPr>
        <w:t>1 рік складає</w:t>
      </w:r>
      <w:r>
        <w:rPr>
          <w:rFonts w:ascii="Times New Roman" w:eastAsia="Times New Roman" w:hAnsi="Times New Roman" w:cs="Times New Roman"/>
          <w:spacing w:val="7"/>
          <w:sz w:val="28"/>
          <w:szCs w:val="28"/>
          <w:lang w:eastAsia="uk-UA"/>
        </w:rPr>
        <w:t xml:space="preserve"> </w:t>
      </w:r>
      <w:r w:rsidR="009E5693">
        <w:rPr>
          <w:rFonts w:ascii="Times New Roman" w:eastAsia="Times New Roman" w:hAnsi="Times New Roman" w:cs="Times New Roman"/>
          <w:spacing w:val="7"/>
          <w:sz w:val="28"/>
          <w:szCs w:val="28"/>
          <w:lang w:eastAsia="uk-UA"/>
        </w:rPr>
        <w:t>7727</w:t>
      </w:r>
      <w:r>
        <w:rPr>
          <w:rFonts w:ascii="Times New Roman" w:eastAsia="Times New Roman" w:hAnsi="Times New Roman" w:cs="Times New Roman"/>
          <w:spacing w:val="7"/>
          <w:sz w:val="28"/>
          <w:szCs w:val="28"/>
          <w:lang w:eastAsia="uk-UA"/>
        </w:rPr>
        <w:t xml:space="preserve"> осіб,</w:t>
      </w:r>
      <w:r w:rsidR="009E5693">
        <w:rPr>
          <w:rFonts w:ascii="Times New Roman" w:eastAsia="Times New Roman" w:hAnsi="Times New Roman" w:cs="Times New Roman"/>
          <w:spacing w:val="7"/>
          <w:sz w:val="28"/>
          <w:szCs w:val="28"/>
          <w:lang w:eastAsia="uk-UA"/>
        </w:rPr>
        <w:t>на 2022 рік складає 7652 особи,</w:t>
      </w:r>
      <w:r w:rsidR="009E5693" w:rsidRPr="009E5693">
        <w:rPr>
          <w:rFonts w:ascii="Times New Roman" w:eastAsia="Times New Roman" w:hAnsi="Times New Roman" w:cs="Times New Roman"/>
          <w:spacing w:val="7"/>
          <w:sz w:val="28"/>
          <w:szCs w:val="28"/>
          <w:lang w:eastAsia="uk-UA"/>
        </w:rPr>
        <w:t xml:space="preserve"> </w:t>
      </w:r>
      <w:r w:rsidR="009E5693">
        <w:rPr>
          <w:rFonts w:ascii="Times New Roman" w:eastAsia="Times New Roman" w:hAnsi="Times New Roman" w:cs="Times New Roman"/>
          <w:spacing w:val="7"/>
          <w:sz w:val="28"/>
          <w:szCs w:val="28"/>
          <w:lang w:eastAsia="uk-UA"/>
        </w:rPr>
        <w:t>на 2023 рік складає 7562 особи,</w:t>
      </w:r>
      <w:r w:rsidR="009E5693" w:rsidRPr="009E5693">
        <w:rPr>
          <w:rFonts w:ascii="Times New Roman" w:eastAsia="Times New Roman" w:hAnsi="Times New Roman" w:cs="Times New Roman"/>
          <w:spacing w:val="7"/>
          <w:sz w:val="28"/>
          <w:szCs w:val="28"/>
          <w:lang w:eastAsia="uk-UA"/>
        </w:rPr>
        <w:t xml:space="preserve"> </w:t>
      </w:r>
      <w:r w:rsidR="009E5693">
        <w:rPr>
          <w:rFonts w:ascii="Times New Roman" w:eastAsia="Times New Roman" w:hAnsi="Times New Roman" w:cs="Times New Roman"/>
          <w:spacing w:val="7"/>
          <w:sz w:val="28"/>
          <w:szCs w:val="28"/>
          <w:lang w:eastAsia="uk-UA"/>
        </w:rPr>
        <w:t>на 2024 рік складає 77472 особи.</w:t>
      </w:r>
    </w:p>
    <w:p w:rsidR="009E5693" w:rsidRDefault="009E5693" w:rsidP="009E5693">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lastRenderedPageBreak/>
        <w:t>Доходи населення.</w:t>
      </w:r>
    </w:p>
    <w:p w:rsidR="00751D6C" w:rsidRDefault="009E5693" w:rsidP="00751D6C">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Розмір середньомісячної заробітної плати штатних працівників громади зайнятих в усіх сферах економічної діяльності(без урахування найманих праців</w:t>
      </w:r>
      <w:r w:rsidR="00746FE0">
        <w:rPr>
          <w:rFonts w:ascii="Times New Roman" w:eastAsia="Times New Roman" w:hAnsi="Times New Roman" w:cs="Times New Roman"/>
          <w:spacing w:val="7"/>
          <w:sz w:val="28"/>
          <w:szCs w:val="28"/>
          <w:lang w:eastAsia="uk-UA"/>
        </w:rPr>
        <w:t>ників статистично малих підприємств та зайнятих у фізичних ос</w:t>
      </w:r>
      <w:r w:rsidR="00132A5E">
        <w:rPr>
          <w:rFonts w:ascii="Times New Roman" w:eastAsia="Times New Roman" w:hAnsi="Times New Roman" w:cs="Times New Roman"/>
          <w:spacing w:val="7"/>
          <w:sz w:val="28"/>
          <w:szCs w:val="28"/>
          <w:lang w:eastAsia="uk-UA"/>
        </w:rPr>
        <w:t>і</w:t>
      </w:r>
      <w:r w:rsidR="00746FE0">
        <w:rPr>
          <w:rFonts w:ascii="Times New Roman" w:eastAsia="Times New Roman" w:hAnsi="Times New Roman" w:cs="Times New Roman"/>
          <w:spacing w:val="7"/>
          <w:sz w:val="28"/>
          <w:szCs w:val="28"/>
          <w:lang w:eastAsia="uk-UA"/>
        </w:rPr>
        <w:t>б-підприємців)у 2020 році становить 9100 грн.</w:t>
      </w:r>
      <w:r w:rsidR="00132A5E">
        <w:rPr>
          <w:rFonts w:ascii="Times New Roman" w:eastAsia="Times New Roman" w:hAnsi="Times New Roman" w:cs="Times New Roman"/>
          <w:spacing w:val="7"/>
          <w:sz w:val="28"/>
          <w:szCs w:val="28"/>
          <w:lang w:eastAsia="uk-UA"/>
        </w:rPr>
        <w:t xml:space="preserve"> </w:t>
      </w:r>
      <w:proofErr w:type="spellStart"/>
      <w:r w:rsidR="00746FE0">
        <w:rPr>
          <w:rFonts w:ascii="Times New Roman" w:eastAsia="Times New Roman" w:hAnsi="Times New Roman" w:cs="Times New Roman"/>
          <w:spacing w:val="7"/>
          <w:sz w:val="28"/>
          <w:szCs w:val="28"/>
          <w:lang w:eastAsia="uk-UA"/>
        </w:rPr>
        <w:t>Прогонозований</w:t>
      </w:r>
      <w:proofErr w:type="spellEnd"/>
      <w:r w:rsidR="00746FE0">
        <w:rPr>
          <w:rFonts w:ascii="Times New Roman" w:eastAsia="Times New Roman" w:hAnsi="Times New Roman" w:cs="Times New Roman"/>
          <w:spacing w:val="7"/>
          <w:sz w:val="28"/>
          <w:szCs w:val="28"/>
          <w:lang w:eastAsia="uk-UA"/>
        </w:rPr>
        <w:t xml:space="preserve"> показник на 2021рік -9500 </w:t>
      </w:r>
      <w:proofErr w:type="spellStart"/>
      <w:r w:rsidR="00746FE0">
        <w:rPr>
          <w:rFonts w:ascii="Times New Roman" w:eastAsia="Times New Roman" w:hAnsi="Times New Roman" w:cs="Times New Roman"/>
          <w:spacing w:val="7"/>
          <w:sz w:val="28"/>
          <w:szCs w:val="28"/>
          <w:lang w:eastAsia="uk-UA"/>
        </w:rPr>
        <w:t>грн</w:t>
      </w:r>
      <w:proofErr w:type="spellEnd"/>
      <w:r w:rsidR="00746FE0">
        <w:rPr>
          <w:rFonts w:ascii="Times New Roman" w:eastAsia="Times New Roman" w:hAnsi="Times New Roman" w:cs="Times New Roman"/>
          <w:spacing w:val="7"/>
          <w:sz w:val="28"/>
          <w:szCs w:val="28"/>
          <w:lang w:eastAsia="uk-UA"/>
        </w:rPr>
        <w:t>,</w:t>
      </w:r>
      <w:r w:rsidR="00132A5E">
        <w:rPr>
          <w:rFonts w:ascii="Times New Roman" w:eastAsia="Times New Roman" w:hAnsi="Times New Roman" w:cs="Times New Roman"/>
          <w:spacing w:val="7"/>
          <w:sz w:val="28"/>
          <w:szCs w:val="28"/>
          <w:lang w:eastAsia="uk-UA"/>
        </w:rPr>
        <w:t xml:space="preserve"> </w:t>
      </w:r>
      <w:r w:rsidR="00746FE0">
        <w:rPr>
          <w:rFonts w:ascii="Times New Roman" w:eastAsia="Times New Roman" w:hAnsi="Times New Roman" w:cs="Times New Roman"/>
          <w:spacing w:val="7"/>
          <w:sz w:val="28"/>
          <w:szCs w:val="28"/>
          <w:lang w:eastAsia="uk-UA"/>
        </w:rPr>
        <w:t>на 2022 рік-10000грн,на 2023рік -10600грн,на 2024рік -11000   грн.</w:t>
      </w:r>
    </w:p>
    <w:p w:rsidR="00902052" w:rsidRPr="002A2FC3" w:rsidRDefault="00747E2A"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На території громади функціонує 239</w:t>
      </w:r>
      <w:r w:rsidR="00902052" w:rsidRPr="002A2FC3">
        <w:rPr>
          <w:rFonts w:ascii="Times New Roman" w:eastAsia="Times New Roman" w:hAnsi="Times New Roman" w:cs="Times New Roman"/>
          <w:spacing w:val="7"/>
          <w:sz w:val="28"/>
          <w:szCs w:val="28"/>
          <w:lang w:eastAsia="uk-UA"/>
        </w:rPr>
        <w:t xml:space="preserve"> </w:t>
      </w:r>
      <w:proofErr w:type="spellStart"/>
      <w:r w:rsidR="00902052" w:rsidRPr="002A2FC3">
        <w:rPr>
          <w:rFonts w:ascii="Times New Roman" w:eastAsia="Times New Roman" w:hAnsi="Times New Roman" w:cs="Times New Roman"/>
          <w:spacing w:val="7"/>
          <w:sz w:val="28"/>
          <w:szCs w:val="28"/>
          <w:lang w:eastAsia="uk-UA"/>
        </w:rPr>
        <w:t>суб</w:t>
      </w:r>
      <w:proofErr w:type="spellEnd"/>
      <w:r w:rsidR="00132A5E" w:rsidRPr="002A2FC3">
        <w:rPr>
          <w:rFonts w:ascii="Times New Roman" w:eastAsia="Times New Roman" w:hAnsi="Times New Roman" w:cs="Times New Roman"/>
          <w:spacing w:val="7"/>
          <w:sz w:val="28"/>
          <w:szCs w:val="28"/>
          <w:lang w:val="en-US" w:eastAsia="uk-UA"/>
        </w:rPr>
        <w:t>’</w:t>
      </w:r>
      <w:proofErr w:type="spellStart"/>
      <w:r w:rsidR="00902052" w:rsidRPr="002A2FC3">
        <w:rPr>
          <w:rFonts w:ascii="Times New Roman" w:eastAsia="Times New Roman" w:hAnsi="Times New Roman" w:cs="Times New Roman"/>
          <w:spacing w:val="7"/>
          <w:sz w:val="28"/>
          <w:szCs w:val="28"/>
          <w:lang w:eastAsia="uk-UA"/>
        </w:rPr>
        <w:t>єкт</w:t>
      </w:r>
      <w:r w:rsidR="00132A5E" w:rsidRPr="002A2FC3">
        <w:rPr>
          <w:rFonts w:ascii="Times New Roman" w:eastAsia="Times New Roman" w:hAnsi="Times New Roman" w:cs="Times New Roman"/>
          <w:spacing w:val="7"/>
          <w:sz w:val="28"/>
          <w:szCs w:val="28"/>
          <w:lang w:eastAsia="uk-UA"/>
        </w:rPr>
        <w:t>и</w:t>
      </w:r>
      <w:proofErr w:type="spellEnd"/>
      <w:r w:rsidR="00902052" w:rsidRPr="002A2FC3">
        <w:rPr>
          <w:rFonts w:ascii="Times New Roman" w:eastAsia="Times New Roman" w:hAnsi="Times New Roman" w:cs="Times New Roman"/>
          <w:spacing w:val="7"/>
          <w:sz w:val="28"/>
          <w:szCs w:val="28"/>
          <w:lang w:eastAsia="uk-UA"/>
        </w:rPr>
        <w:t xml:space="preserve"> господарювання, з них 4</w:t>
      </w:r>
      <w:r w:rsidR="00132A5E" w:rsidRPr="002A2FC3">
        <w:rPr>
          <w:rFonts w:ascii="Times New Roman" w:eastAsia="Times New Roman" w:hAnsi="Times New Roman" w:cs="Times New Roman"/>
          <w:spacing w:val="7"/>
          <w:sz w:val="28"/>
          <w:szCs w:val="28"/>
          <w:lang w:eastAsia="uk-UA"/>
        </w:rPr>
        <w:t>4</w:t>
      </w:r>
      <w:r w:rsidR="00902052" w:rsidRPr="002A2FC3">
        <w:rPr>
          <w:rFonts w:ascii="Times New Roman" w:eastAsia="Times New Roman" w:hAnsi="Times New Roman" w:cs="Times New Roman"/>
          <w:spacing w:val="7"/>
          <w:sz w:val="28"/>
          <w:szCs w:val="28"/>
          <w:lang w:eastAsia="uk-UA"/>
        </w:rPr>
        <w:t xml:space="preserve"> юридичні особи, 18</w:t>
      </w:r>
      <w:r w:rsidR="00132A5E" w:rsidRPr="002A2FC3">
        <w:rPr>
          <w:rFonts w:ascii="Times New Roman" w:eastAsia="Times New Roman" w:hAnsi="Times New Roman" w:cs="Times New Roman"/>
          <w:spacing w:val="7"/>
          <w:sz w:val="28"/>
          <w:szCs w:val="28"/>
          <w:lang w:eastAsia="uk-UA"/>
        </w:rPr>
        <w:t>0</w:t>
      </w:r>
      <w:r w:rsidR="00902052" w:rsidRPr="002A2FC3">
        <w:rPr>
          <w:rFonts w:ascii="Times New Roman" w:eastAsia="Times New Roman" w:hAnsi="Times New Roman" w:cs="Times New Roman"/>
          <w:spacing w:val="7"/>
          <w:sz w:val="28"/>
          <w:szCs w:val="28"/>
          <w:lang w:eastAsia="uk-UA"/>
        </w:rPr>
        <w:t xml:space="preserve"> фізичних осіб-підприємців та </w:t>
      </w:r>
      <w:r w:rsidR="00132A5E" w:rsidRPr="002A2FC3">
        <w:rPr>
          <w:rFonts w:ascii="Times New Roman" w:eastAsia="Times New Roman" w:hAnsi="Times New Roman" w:cs="Times New Roman"/>
          <w:spacing w:val="7"/>
          <w:sz w:val="28"/>
          <w:szCs w:val="28"/>
          <w:lang w:eastAsia="uk-UA"/>
        </w:rPr>
        <w:t>15</w:t>
      </w:r>
      <w:r w:rsidR="00902052" w:rsidRPr="002A2FC3">
        <w:rPr>
          <w:rFonts w:ascii="Times New Roman" w:eastAsia="Times New Roman" w:hAnsi="Times New Roman" w:cs="Times New Roman"/>
          <w:spacing w:val="7"/>
          <w:sz w:val="28"/>
          <w:szCs w:val="28"/>
          <w:lang w:eastAsia="uk-UA"/>
        </w:rPr>
        <w:t xml:space="preserve"> неприбутков</w:t>
      </w:r>
      <w:r w:rsidR="00132A5E" w:rsidRPr="002A2FC3">
        <w:rPr>
          <w:rFonts w:ascii="Times New Roman" w:eastAsia="Times New Roman" w:hAnsi="Times New Roman" w:cs="Times New Roman"/>
          <w:spacing w:val="7"/>
          <w:sz w:val="28"/>
          <w:szCs w:val="28"/>
          <w:lang w:eastAsia="uk-UA"/>
        </w:rPr>
        <w:t>их</w:t>
      </w:r>
      <w:r w:rsidR="00902052" w:rsidRPr="002A2FC3">
        <w:rPr>
          <w:rFonts w:ascii="Times New Roman" w:eastAsia="Times New Roman" w:hAnsi="Times New Roman" w:cs="Times New Roman"/>
          <w:spacing w:val="7"/>
          <w:sz w:val="28"/>
          <w:szCs w:val="28"/>
          <w:lang w:eastAsia="uk-UA"/>
        </w:rPr>
        <w:t xml:space="preserve"> організаці</w:t>
      </w:r>
      <w:r w:rsidR="00132A5E" w:rsidRPr="002A2FC3">
        <w:rPr>
          <w:rFonts w:ascii="Times New Roman" w:eastAsia="Times New Roman" w:hAnsi="Times New Roman" w:cs="Times New Roman"/>
          <w:spacing w:val="7"/>
          <w:sz w:val="28"/>
          <w:szCs w:val="28"/>
          <w:lang w:eastAsia="uk-UA"/>
        </w:rPr>
        <w:t>й</w:t>
      </w:r>
      <w:r w:rsidR="00902052" w:rsidRPr="002A2FC3">
        <w:rPr>
          <w:rFonts w:ascii="Times New Roman" w:eastAsia="Times New Roman" w:hAnsi="Times New Roman" w:cs="Times New Roman"/>
          <w:spacing w:val="7"/>
          <w:sz w:val="28"/>
          <w:szCs w:val="28"/>
          <w:lang w:eastAsia="uk-UA"/>
        </w:rPr>
        <w:t>.</w:t>
      </w:r>
    </w:p>
    <w:p w:rsidR="009C7E3A" w:rsidRPr="002A2FC3" w:rsidRDefault="009C7E3A"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Найбільшими платниками до місцевого бюджету є:</w:t>
      </w:r>
    </w:p>
    <w:p w:rsidR="00956118" w:rsidRPr="002A2FC3" w:rsidRDefault="009C7E3A" w:rsidP="009C7E3A">
      <w:pPr>
        <w:pStyle w:val="a6"/>
        <w:numPr>
          <w:ilvl w:val="0"/>
          <w:numId w:val="5"/>
        </w:numPr>
        <w:shd w:val="clear" w:color="auto" w:fill="FFFFFF"/>
        <w:spacing w:after="160" w:line="240" w:lineRule="auto"/>
        <w:jc w:val="both"/>
        <w:rPr>
          <w:rFonts w:ascii="Times New Roman" w:eastAsia="Times New Roman" w:hAnsi="Times New Roman" w:cs="Times New Roman"/>
          <w:spacing w:val="7"/>
          <w:sz w:val="28"/>
          <w:szCs w:val="28"/>
          <w:lang w:eastAsia="uk-UA"/>
        </w:rPr>
      </w:pPr>
      <w:proofErr w:type="spellStart"/>
      <w:r w:rsidRPr="002A2FC3">
        <w:rPr>
          <w:rFonts w:ascii="Times New Roman" w:eastAsia="Times New Roman" w:hAnsi="Times New Roman" w:cs="Times New Roman"/>
          <w:spacing w:val="7"/>
          <w:sz w:val="28"/>
          <w:szCs w:val="28"/>
          <w:lang w:eastAsia="uk-UA"/>
        </w:rPr>
        <w:t>ПрАТ</w:t>
      </w:r>
      <w:proofErr w:type="spellEnd"/>
      <w:r w:rsidRPr="002A2FC3">
        <w:rPr>
          <w:rFonts w:ascii="Times New Roman" w:eastAsia="Times New Roman" w:hAnsi="Times New Roman" w:cs="Times New Roman"/>
          <w:spacing w:val="7"/>
          <w:sz w:val="28"/>
          <w:szCs w:val="28"/>
          <w:lang w:eastAsia="uk-UA"/>
        </w:rPr>
        <w:t xml:space="preserve"> «</w:t>
      </w:r>
      <w:proofErr w:type="spellStart"/>
      <w:r w:rsidRPr="002A2FC3">
        <w:rPr>
          <w:rFonts w:ascii="Times New Roman" w:eastAsia="Times New Roman" w:hAnsi="Times New Roman" w:cs="Times New Roman"/>
          <w:spacing w:val="7"/>
          <w:sz w:val="28"/>
          <w:szCs w:val="28"/>
          <w:lang w:eastAsia="uk-UA"/>
        </w:rPr>
        <w:t>Більшівці-Риба</w:t>
      </w:r>
      <w:proofErr w:type="spellEnd"/>
      <w:r w:rsidRPr="002A2FC3">
        <w:rPr>
          <w:rFonts w:ascii="Times New Roman" w:eastAsia="Times New Roman" w:hAnsi="Times New Roman" w:cs="Times New Roman"/>
          <w:spacing w:val="7"/>
          <w:sz w:val="28"/>
          <w:szCs w:val="28"/>
          <w:lang w:eastAsia="uk-UA"/>
        </w:rPr>
        <w:t xml:space="preserve">» - </w:t>
      </w:r>
      <w:r w:rsidR="00956118" w:rsidRPr="002A2FC3">
        <w:rPr>
          <w:rFonts w:ascii="Times New Roman" w:eastAsia="Times New Roman" w:hAnsi="Times New Roman" w:cs="Times New Roman"/>
          <w:spacing w:val="7"/>
          <w:sz w:val="28"/>
          <w:szCs w:val="28"/>
          <w:lang w:eastAsia="uk-UA"/>
        </w:rPr>
        <w:t xml:space="preserve">обсяг реалізованої продукції за 2020 рік – 41млн.132 </w:t>
      </w:r>
      <w:proofErr w:type="spellStart"/>
      <w:r w:rsidR="00956118" w:rsidRPr="002A2FC3">
        <w:rPr>
          <w:rFonts w:ascii="Times New Roman" w:eastAsia="Times New Roman" w:hAnsi="Times New Roman" w:cs="Times New Roman"/>
          <w:spacing w:val="7"/>
          <w:sz w:val="28"/>
          <w:szCs w:val="28"/>
          <w:lang w:eastAsia="uk-UA"/>
        </w:rPr>
        <w:t>тис.грн</w:t>
      </w:r>
      <w:proofErr w:type="spellEnd"/>
      <w:r w:rsidR="00956118" w:rsidRPr="002A2FC3">
        <w:rPr>
          <w:rFonts w:ascii="Times New Roman" w:eastAsia="Times New Roman" w:hAnsi="Times New Roman" w:cs="Times New Roman"/>
          <w:spacing w:val="7"/>
          <w:sz w:val="28"/>
          <w:szCs w:val="28"/>
          <w:lang w:eastAsia="uk-UA"/>
        </w:rPr>
        <w:t>., середня кількість найманих працівників – 63;</w:t>
      </w:r>
    </w:p>
    <w:p w:rsidR="00956118" w:rsidRPr="002A2FC3" w:rsidRDefault="00956118" w:rsidP="00956118">
      <w:pPr>
        <w:pStyle w:val="a6"/>
        <w:numPr>
          <w:ilvl w:val="0"/>
          <w:numId w:val="5"/>
        </w:num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 xml:space="preserve">ПЗВКП «Еліта» - обсяг реалізованої продукції за 2020 рік – 160млн.586 </w:t>
      </w:r>
      <w:proofErr w:type="spellStart"/>
      <w:r w:rsidRPr="002A2FC3">
        <w:rPr>
          <w:rFonts w:ascii="Times New Roman" w:eastAsia="Times New Roman" w:hAnsi="Times New Roman" w:cs="Times New Roman"/>
          <w:spacing w:val="7"/>
          <w:sz w:val="28"/>
          <w:szCs w:val="28"/>
          <w:lang w:eastAsia="uk-UA"/>
        </w:rPr>
        <w:t>тис.грн</w:t>
      </w:r>
      <w:proofErr w:type="spellEnd"/>
      <w:r w:rsidRPr="002A2FC3">
        <w:rPr>
          <w:rFonts w:ascii="Times New Roman" w:eastAsia="Times New Roman" w:hAnsi="Times New Roman" w:cs="Times New Roman"/>
          <w:spacing w:val="7"/>
          <w:sz w:val="28"/>
          <w:szCs w:val="28"/>
          <w:lang w:eastAsia="uk-UA"/>
        </w:rPr>
        <w:t>., середня кількість найманих працівників – 70;</w:t>
      </w:r>
    </w:p>
    <w:p w:rsidR="00132A5E" w:rsidRPr="002A2FC3" w:rsidRDefault="00956118" w:rsidP="00902052">
      <w:pPr>
        <w:pStyle w:val="a6"/>
        <w:numPr>
          <w:ilvl w:val="0"/>
          <w:numId w:val="5"/>
        </w:numPr>
        <w:shd w:val="clear" w:color="auto" w:fill="FFFFFF"/>
        <w:spacing w:after="160" w:line="240" w:lineRule="auto"/>
        <w:jc w:val="both"/>
        <w:rPr>
          <w:rFonts w:ascii="Times New Roman" w:eastAsia="Times New Roman" w:hAnsi="Times New Roman" w:cs="Times New Roman"/>
          <w:spacing w:val="7"/>
          <w:sz w:val="28"/>
          <w:szCs w:val="28"/>
          <w:lang w:eastAsia="uk-UA"/>
        </w:rPr>
      </w:pPr>
      <w:proofErr w:type="spellStart"/>
      <w:r w:rsidRPr="002A2FC3">
        <w:rPr>
          <w:rFonts w:ascii="Times New Roman" w:eastAsia="Times New Roman" w:hAnsi="Times New Roman" w:cs="Times New Roman"/>
          <w:spacing w:val="7"/>
          <w:sz w:val="28"/>
          <w:szCs w:val="28"/>
          <w:lang w:eastAsia="uk-UA"/>
        </w:rPr>
        <w:t>ТзОВ</w:t>
      </w:r>
      <w:proofErr w:type="spellEnd"/>
      <w:r w:rsidRPr="002A2FC3">
        <w:rPr>
          <w:rFonts w:ascii="Times New Roman" w:eastAsia="Times New Roman" w:hAnsi="Times New Roman" w:cs="Times New Roman"/>
          <w:spacing w:val="7"/>
          <w:sz w:val="28"/>
          <w:szCs w:val="28"/>
          <w:lang w:eastAsia="uk-UA"/>
        </w:rPr>
        <w:t xml:space="preserve"> «</w:t>
      </w:r>
      <w:proofErr w:type="spellStart"/>
      <w:r w:rsidRPr="002A2FC3">
        <w:rPr>
          <w:rFonts w:ascii="Times New Roman" w:eastAsia="Times New Roman" w:hAnsi="Times New Roman" w:cs="Times New Roman"/>
          <w:spacing w:val="7"/>
          <w:sz w:val="28"/>
          <w:szCs w:val="28"/>
          <w:lang w:eastAsia="uk-UA"/>
        </w:rPr>
        <w:t>Екопродукт</w:t>
      </w:r>
      <w:proofErr w:type="spellEnd"/>
      <w:r w:rsidRPr="002A2FC3">
        <w:rPr>
          <w:rFonts w:ascii="Times New Roman" w:eastAsia="Times New Roman" w:hAnsi="Times New Roman" w:cs="Times New Roman"/>
          <w:spacing w:val="7"/>
          <w:sz w:val="28"/>
          <w:szCs w:val="28"/>
          <w:lang w:eastAsia="uk-UA"/>
        </w:rPr>
        <w:t xml:space="preserve">» - обсяг реалізованої продукції за 2020 рік – 7млн.112 </w:t>
      </w:r>
      <w:proofErr w:type="spellStart"/>
      <w:r w:rsidRPr="002A2FC3">
        <w:rPr>
          <w:rFonts w:ascii="Times New Roman" w:eastAsia="Times New Roman" w:hAnsi="Times New Roman" w:cs="Times New Roman"/>
          <w:spacing w:val="7"/>
          <w:sz w:val="28"/>
          <w:szCs w:val="28"/>
          <w:lang w:eastAsia="uk-UA"/>
        </w:rPr>
        <w:t>тис.грн</w:t>
      </w:r>
      <w:proofErr w:type="spellEnd"/>
      <w:r w:rsidRPr="002A2FC3">
        <w:rPr>
          <w:rFonts w:ascii="Times New Roman" w:eastAsia="Times New Roman" w:hAnsi="Times New Roman" w:cs="Times New Roman"/>
          <w:spacing w:val="7"/>
          <w:sz w:val="28"/>
          <w:szCs w:val="28"/>
          <w:lang w:eastAsia="uk-UA"/>
        </w:rPr>
        <w:t>., середня кількість найманих працівників – 54.</w:t>
      </w:r>
    </w:p>
    <w:p w:rsidR="00902052" w:rsidRPr="002A2FC3"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F20C00">
        <w:rPr>
          <w:rFonts w:ascii="Times New Roman" w:eastAsia="Times New Roman" w:hAnsi="Times New Roman" w:cs="Times New Roman"/>
          <w:spacing w:val="7"/>
          <w:sz w:val="28"/>
          <w:szCs w:val="28"/>
          <w:lang w:eastAsia="uk-UA"/>
        </w:rPr>
        <w:t xml:space="preserve">За підсумками січня - червня 2021 р. в галузях реального сектору економіки спостерігаються зміни ключових показників. На економічний стан громади у І півріччі 2020 року вплинуло встановлення «податкових канікул» для фізичних осіб під час карантинних обмежень відповідно до Закону України від 17 березня 2020 року № 533-IX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F20C00">
        <w:rPr>
          <w:rFonts w:ascii="Times New Roman" w:eastAsia="Times New Roman" w:hAnsi="Times New Roman" w:cs="Times New Roman"/>
          <w:spacing w:val="7"/>
          <w:sz w:val="28"/>
          <w:szCs w:val="28"/>
          <w:lang w:eastAsia="uk-UA"/>
        </w:rPr>
        <w:t>коронавірусної</w:t>
      </w:r>
      <w:proofErr w:type="spellEnd"/>
      <w:r w:rsidRPr="00F20C00">
        <w:rPr>
          <w:rFonts w:ascii="Times New Roman" w:eastAsia="Times New Roman" w:hAnsi="Times New Roman" w:cs="Times New Roman"/>
          <w:spacing w:val="7"/>
          <w:sz w:val="28"/>
          <w:szCs w:val="28"/>
          <w:lang w:eastAsia="uk-UA"/>
        </w:rPr>
        <w:t xml:space="preserve"> хвороби (COVID-19)» та Закону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2A2FC3">
        <w:rPr>
          <w:rFonts w:ascii="Times New Roman" w:eastAsia="Times New Roman" w:hAnsi="Times New Roman" w:cs="Times New Roman"/>
          <w:spacing w:val="7"/>
          <w:sz w:val="28"/>
          <w:szCs w:val="28"/>
          <w:lang w:eastAsia="uk-UA"/>
        </w:rPr>
        <w:t>коронавірусної</w:t>
      </w:r>
      <w:proofErr w:type="spellEnd"/>
      <w:r w:rsidRPr="002A2FC3">
        <w:rPr>
          <w:rFonts w:ascii="Times New Roman" w:eastAsia="Times New Roman" w:hAnsi="Times New Roman" w:cs="Times New Roman"/>
          <w:spacing w:val="7"/>
          <w:sz w:val="28"/>
          <w:szCs w:val="28"/>
          <w:lang w:eastAsia="uk-UA"/>
        </w:rPr>
        <w:t xml:space="preserve"> хвороби (COVID-19)».</w:t>
      </w:r>
    </w:p>
    <w:p w:rsidR="00902052" w:rsidRPr="002A2FC3"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При визначенні показників Прогнозу на середньостроковий період враховано наступні положення і показники, визначені Бюджетною декларацією:</w:t>
      </w:r>
    </w:p>
    <w:p w:rsidR="00902052" w:rsidRPr="002A2FC3"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 застосування до 2023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зазначенням 100 відсотків;</w:t>
      </w:r>
    </w:p>
    <w:p w:rsidR="00902052" w:rsidRPr="00746FE0"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2A2FC3">
        <w:rPr>
          <w:rFonts w:ascii="Times New Roman" w:eastAsia="Times New Roman" w:hAnsi="Times New Roman" w:cs="Times New Roman"/>
          <w:spacing w:val="7"/>
          <w:sz w:val="28"/>
          <w:szCs w:val="28"/>
          <w:lang w:eastAsia="uk-UA"/>
        </w:rPr>
        <w:t xml:space="preserve">- </w:t>
      </w:r>
      <w:r w:rsidRPr="00100414">
        <w:rPr>
          <w:rFonts w:ascii="Times New Roman" w:eastAsia="Times New Roman" w:hAnsi="Times New Roman" w:cs="Times New Roman"/>
          <w:color w:val="FF0000"/>
          <w:spacing w:val="7"/>
          <w:sz w:val="28"/>
          <w:szCs w:val="28"/>
          <w:lang w:eastAsia="uk-UA"/>
        </w:rPr>
        <w:t xml:space="preserve"> </w:t>
      </w:r>
      <w:r w:rsidRPr="00746FE0">
        <w:rPr>
          <w:rFonts w:ascii="Times New Roman" w:eastAsia="Times New Roman" w:hAnsi="Times New Roman" w:cs="Times New Roman"/>
          <w:spacing w:val="7"/>
          <w:sz w:val="28"/>
          <w:szCs w:val="28"/>
          <w:lang w:eastAsia="uk-UA"/>
        </w:rPr>
        <w:t>застосування чинних ставок оподаткування основних податків.</w:t>
      </w:r>
    </w:p>
    <w:p w:rsidR="00902052" w:rsidRPr="00746FE0" w:rsidRDefault="00746FE0"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r w:rsidR="00902052" w:rsidRPr="00746FE0">
        <w:rPr>
          <w:rFonts w:ascii="Times New Roman" w:eastAsia="Times New Roman" w:hAnsi="Times New Roman" w:cs="Times New Roman"/>
          <w:spacing w:val="7"/>
          <w:sz w:val="28"/>
          <w:szCs w:val="28"/>
          <w:lang w:eastAsia="uk-UA"/>
        </w:rPr>
        <w:t>Показники, визначені Бюджетною декларацією, які враховано при складанні Прогнозу:</w:t>
      </w:r>
    </w:p>
    <w:p w:rsidR="00902052" w:rsidRPr="00746FE0"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p>
    <w:tbl>
      <w:tblPr>
        <w:tblW w:w="1161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854"/>
        <w:gridCol w:w="1299"/>
        <w:gridCol w:w="1125"/>
        <w:gridCol w:w="790"/>
        <w:gridCol w:w="790"/>
        <w:gridCol w:w="661"/>
        <w:gridCol w:w="306"/>
        <w:gridCol w:w="355"/>
        <w:gridCol w:w="487"/>
        <w:gridCol w:w="174"/>
        <w:gridCol w:w="613"/>
        <w:gridCol w:w="133"/>
        <w:gridCol w:w="661"/>
        <w:gridCol w:w="34"/>
        <w:gridCol w:w="675"/>
        <w:gridCol w:w="115"/>
        <w:gridCol w:w="790"/>
        <w:gridCol w:w="246"/>
        <w:gridCol w:w="544"/>
      </w:tblGrid>
      <w:tr w:rsidR="00100414" w:rsidRPr="00746FE0" w:rsidTr="009F1571">
        <w:trPr>
          <w:gridAfter w:val="1"/>
          <w:wAfter w:w="544" w:type="dxa"/>
          <w:jc w:val="center"/>
        </w:trPr>
        <w:tc>
          <w:tcPr>
            <w:tcW w:w="1854"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lastRenderedPageBreak/>
              <w:t>Найменування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показника</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одиниця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виміру</w:t>
            </w:r>
            <w:proofErr w:type="spellEnd"/>
          </w:p>
        </w:tc>
        <w:tc>
          <w:tcPr>
            <w:tcW w:w="1299"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2020р. (факт)</w:t>
            </w:r>
          </w:p>
        </w:tc>
        <w:tc>
          <w:tcPr>
            <w:tcW w:w="1125"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2021р. (</w:t>
            </w:r>
            <w:proofErr w:type="spellStart"/>
            <w:r w:rsidRPr="00746FE0">
              <w:rPr>
                <w:rFonts w:ascii="Times New Roman" w:eastAsia="Times New Roman" w:hAnsi="Times New Roman" w:cs="Times New Roman"/>
                <w:sz w:val="28"/>
                <w:szCs w:val="28"/>
                <w:lang w:val="ru-RU" w:eastAsia="uk-UA"/>
              </w:rPr>
              <w:t>очікув</w:t>
            </w:r>
            <w:proofErr w:type="spellEnd"/>
            <w:r w:rsidRPr="00746FE0">
              <w:rPr>
                <w:rFonts w:ascii="Times New Roman" w:eastAsia="Times New Roman" w:hAnsi="Times New Roman" w:cs="Times New Roman"/>
                <w:sz w:val="28"/>
                <w:szCs w:val="28"/>
                <w:lang w:val="ru-RU" w:eastAsia="uk-UA"/>
              </w:rPr>
              <w:t>.)</w:t>
            </w:r>
          </w:p>
        </w:tc>
        <w:tc>
          <w:tcPr>
            <w:tcW w:w="2241" w:type="dxa"/>
            <w:gridSpan w:val="3"/>
            <w:tcBorders>
              <w:top w:val="single" w:sz="8" w:space="0" w:color="000000"/>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2022р. (прогноз)</w:t>
            </w:r>
          </w:p>
        </w:tc>
        <w:tc>
          <w:tcPr>
            <w:tcW w:w="2090" w:type="dxa"/>
            <w:gridSpan w:val="6"/>
            <w:tcBorders>
              <w:top w:val="single" w:sz="8" w:space="0" w:color="000000"/>
              <w:left w:val="nil"/>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2023р. (прогноз)</w:t>
            </w:r>
          </w:p>
        </w:tc>
        <w:tc>
          <w:tcPr>
            <w:tcW w:w="2461" w:type="dxa"/>
            <w:gridSpan w:val="6"/>
            <w:tcBorders>
              <w:top w:val="single" w:sz="8" w:space="0" w:color="000000"/>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2024р. (прогноз)</w:t>
            </w:r>
          </w:p>
        </w:tc>
      </w:tr>
      <w:tr w:rsidR="00100414" w:rsidRPr="00746FE0" w:rsidTr="009F1571">
        <w:trPr>
          <w:gridAfter w:val="1"/>
          <w:wAfter w:w="544" w:type="dxa"/>
          <w:trHeight w:val="365"/>
          <w:jc w:val="center"/>
        </w:trPr>
        <w:tc>
          <w:tcPr>
            <w:tcW w:w="1854"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Мінімальна</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заробітна</w:t>
            </w:r>
            <w:proofErr w:type="spellEnd"/>
            <w:r w:rsidRPr="00746FE0">
              <w:rPr>
                <w:rFonts w:ascii="Times New Roman" w:eastAsia="Times New Roman" w:hAnsi="Times New Roman" w:cs="Times New Roman"/>
                <w:sz w:val="28"/>
                <w:szCs w:val="28"/>
                <w:lang w:val="ru-RU" w:eastAsia="uk-UA"/>
              </w:rPr>
              <w:t xml:space="preserve"> плата, грн.</w:t>
            </w:r>
          </w:p>
        </w:tc>
        <w:tc>
          <w:tcPr>
            <w:tcW w:w="1299"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4723/5000</w:t>
            </w:r>
          </w:p>
        </w:tc>
        <w:tc>
          <w:tcPr>
            <w:tcW w:w="1125"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6000</w:t>
            </w:r>
          </w:p>
        </w:tc>
        <w:tc>
          <w:tcPr>
            <w:tcW w:w="79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6500</w:t>
            </w:r>
          </w:p>
        </w:tc>
        <w:tc>
          <w:tcPr>
            <w:tcW w:w="1451" w:type="dxa"/>
            <w:gridSpan w:val="2"/>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6700</w:t>
            </w:r>
          </w:p>
        </w:tc>
        <w:tc>
          <w:tcPr>
            <w:tcW w:w="2090" w:type="dxa"/>
            <w:gridSpan w:val="6"/>
            <w:tcBorders>
              <w:top w:val="nil"/>
              <w:left w:val="nil"/>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7176</w:t>
            </w:r>
          </w:p>
        </w:tc>
        <w:tc>
          <w:tcPr>
            <w:tcW w:w="2461" w:type="dxa"/>
            <w:gridSpan w:val="6"/>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7665</w:t>
            </w:r>
          </w:p>
        </w:tc>
      </w:tr>
      <w:tr w:rsidR="00100414" w:rsidRPr="00746FE0" w:rsidTr="009F1571">
        <w:trPr>
          <w:gridAfter w:val="1"/>
          <w:wAfter w:w="544" w:type="dxa"/>
          <w:jc w:val="center"/>
        </w:trPr>
        <w:tc>
          <w:tcPr>
            <w:tcW w:w="1854"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Прожитковий</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мінімум</w:t>
            </w:r>
            <w:proofErr w:type="spellEnd"/>
            <w:r w:rsidRPr="00746FE0">
              <w:rPr>
                <w:rFonts w:ascii="Times New Roman" w:eastAsia="Times New Roman" w:hAnsi="Times New Roman" w:cs="Times New Roman"/>
                <w:sz w:val="28"/>
                <w:szCs w:val="28"/>
                <w:lang w:val="ru-RU" w:eastAsia="uk-UA"/>
              </w:rPr>
              <w:t xml:space="preserve"> для </w:t>
            </w:r>
            <w:proofErr w:type="spellStart"/>
            <w:r w:rsidRPr="00746FE0">
              <w:rPr>
                <w:rFonts w:ascii="Times New Roman" w:eastAsia="Times New Roman" w:hAnsi="Times New Roman" w:cs="Times New Roman"/>
                <w:sz w:val="28"/>
                <w:szCs w:val="28"/>
                <w:lang w:val="ru-RU" w:eastAsia="uk-UA"/>
              </w:rPr>
              <w:t>працездатних</w:t>
            </w:r>
            <w:proofErr w:type="spellEnd"/>
            <w:r w:rsidRPr="00746FE0">
              <w:rPr>
                <w:rFonts w:ascii="Times New Roman" w:eastAsia="Times New Roman" w:hAnsi="Times New Roman" w:cs="Times New Roman"/>
                <w:sz w:val="28"/>
                <w:szCs w:val="28"/>
                <w:lang w:val="ru-RU" w:eastAsia="uk-UA"/>
              </w:rPr>
              <w:t xml:space="preserve"> </w:t>
            </w:r>
            <w:proofErr w:type="spellStart"/>
            <w:proofErr w:type="gramStart"/>
            <w:r w:rsidRPr="00746FE0">
              <w:rPr>
                <w:rFonts w:ascii="Times New Roman" w:eastAsia="Times New Roman" w:hAnsi="Times New Roman" w:cs="Times New Roman"/>
                <w:sz w:val="28"/>
                <w:szCs w:val="28"/>
                <w:lang w:val="ru-RU" w:eastAsia="uk-UA"/>
              </w:rPr>
              <w:t>осіб</w:t>
            </w:r>
            <w:proofErr w:type="spellEnd"/>
            <w:proofErr w:type="gram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встановлений</w:t>
            </w:r>
            <w:proofErr w:type="spellEnd"/>
            <w:r w:rsidRPr="00746FE0">
              <w:rPr>
                <w:rFonts w:ascii="Times New Roman" w:eastAsia="Times New Roman" w:hAnsi="Times New Roman" w:cs="Times New Roman"/>
                <w:sz w:val="28"/>
                <w:szCs w:val="28"/>
                <w:lang w:val="ru-RU" w:eastAsia="uk-UA"/>
              </w:rPr>
              <w:t xml:space="preserve"> на 1 </w:t>
            </w:r>
            <w:proofErr w:type="spellStart"/>
            <w:r w:rsidRPr="00746FE0">
              <w:rPr>
                <w:rFonts w:ascii="Times New Roman" w:eastAsia="Times New Roman" w:hAnsi="Times New Roman" w:cs="Times New Roman"/>
                <w:sz w:val="28"/>
                <w:szCs w:val="28"/>
                <w:lang w:val="ru-RU" w:eastAsia="uk-UA"/>
              </w:rPr>
              <w:t>січня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відповідного</w:t>
            </w:r>
            <w:proofErr w:type="spellEnd"/>
            <w:r w:rsidRPr="00746FE0">
              <w:rPr>
                <w:rFonts w:ascii="Times New Roman" w:eastAsia="Times New Roman" w:hAnsi="Times New Roman" w:cs="Times New Roman"/>
                <w:sz w:val="28"/>
                <w:szCs w:val="28"/>
                <w:lang w:val="ru-RU" w:eastAsia="uk-UA"/>
              </w:rPr>
              <w:t xml:space="preserve"> року, </w:t>
            </w:r>
            <w:proofErr w:type="spellStart"/>
            <w:r w:rsidRPr="00746FE0">
              <w:rPr>
                <w:rFonts w:ascii="Times New Roman" w:eastAsia="Times New Roman" w:hAnsi="Times New Roman" w:cs="Times New Roman"/>
                <w:sz w:val="28"/>
                <w:szCs w:val="28"/>
                <w:lang w:val="ru-RU" w:eastAsia="uk-UA"/>
              </w:rPr>
              <w:t>грн</w:t>
            </w:r>
            <w:proofErr w:type="spellEnd"/>
          </w:p>
        </w:tc>
        <w:tc>
          <w:tcPr>
            <w:tcW w:w="1299"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2102</w:t>
            </w:r>
          </w:p>
        </w:tc>
        <w:tc>
          <w:tcPr>
            <w:tcW w:w="1125"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2189</w:t>
            </w:r>
          </w:p>
        </w:tc>
        <w:tc>
          <w:tcPr>
            <w:tcW w:w="79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2393</w:t>
            </w:r>
          </w:p>
        </w:tc>
        <w:tc>
          <w:tcPr>
            <w:tcW w:w="79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2508</w:t>
            </w:r>
          </w:p>
        </w:tc>
        <w:tc>
          <w:tcPr>
            <w:tcW w:w="661"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2589</w:t>
            </w:r>
          </w:p>
        </w:tc>
        <w:tc>
          <w:tcPr>
            <w:tcW w:w="661" w:type="dxa"/>
            <w:gridSpan w:val="2"/>
            <w:tcBorders>
              <w:top w:val="nil"/>
              <w:left w:val="nil"/>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2589</w:t>
            </w:r>
          </w:p>
        </w:tc>
        <w:tc>
          <w:tcPr>
            <w:tcW w:w="661" w:type="dxa"/>
            <w:gridSpan w:val="2"/>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2713</w:t>
            </w:r>
          </w:p>
        </w:tc>
        <w:tc>
          <w:tcPr>
            <w:tcW w:w="768" w:type="dxa"/>
            <w:gridSpan w:val="2"/>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2778</w:t>
            </w:r>
          </w:p>
        </w:tc>
        <w:tc>
          <w:tcPr>
            <w:tcW w:w="601"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2778</w:t>
            </w:r>
          </w:p>
        </w:tc>
        <w:tc>
          <w:tcPr>
            <w:tcW w:w="709" w:type="dxa"/>
            <w:gridSpan w:val="2"/>
            <w:tcBorders>
              <w:top w:val="nil"/>
              <w:left w:val="nil"/>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2911</w:t>
            </w:r>
          </w:p>
        </w:tc>
        <w:tc>
          <w:tcPr>
            <w:tcW w:w="1151" w:type="dxa"/>
            <w:gridSpan w:val="3"/>
            <w:tcBorders>
              <w:top w:val="nil"/>
              <w:left w:val="nil"/>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2972</w:t>
            </w:r>
          </w:p>
        </w:tc>
      </w:tr>
      <w:tr w:rsidR="00100414" w:rsidRPr="00100414" w:rsidTr="009F1571">
        <w:trPr>
          <w:jc w:val="center"/>
        </w:trPr>
        <w:tc>
          <w:tcPr>
            <w:tcW w:w="1854"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1299"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1125"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967"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842"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87"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gridSpan w:val="3"/>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c>
          <w:tcPr>
            <w:tcW w:w="790" w:type="dxa"/>
            <w:gridSpan w:val="2"/>
            <w:tcBorders>
              <w:top w:val="nil"/>
              <w:left w:val="nil"/>
              <w:bottom w:val="nil"/>
              <w:right w:val="nil"/>
            </w:tcBorders>
            <w:shd w:val="clear" w:color="auto" w:fill="FFFFFF"/>
            <w:tcMar>
              <w:top w:w="225" w:type="dxa"/>
              <w:left w:w="360" w:type="dxa"/>
              <w:bottom w:w="225" w:type="dxa"/>
              <w:right w:w="360" w:type="dxa"/>
            </w:tcMar>
            <w:vAlign w:val="center"/>
            <w:hideMark/>
          </w:tcPr>
          <w:p w:rsidR="00902052" w:rsidRPr="00100414" w:rsidRDefault="00902052" w:rsidP="00902052">
            <w:pPr>
              <w:spacing w:after="0" w:line="0" w:lineRule="atLeast"/>
              <w:rPr>
                <w:rFonts w:ascii="Times New Roman" w:eastAsia="Times New Roman" w:hAnsi="Times New Roman" w:cs="Times New Roman"/>
                <w:color w:val="FF0000"/>
                <w:sz w:val="28"/>
                <w:szCs w:val="28"/>
                <w:lang w:eastAsia="uk-UA"/>
              </w:rPr>
            </w:pPr>
            <w:r w:rsidRPr="00100414">
              <w:rPr>
                <w:rFonts w:ascii="Times New Roman" w:eastAsia="Times New Roman" w:hAnsi="Times New Roman" w:cs="Times New Roman"/>
                <w:color w:val="FF0000"/>
                <w:sz w:val="28"/>
                <w:szCs w:val="28"/>
                <w:lang w:eastAsia="uk-UA"/>
              </w:rPr>
              <w:t> </w:t>
            </w:r>
          </w:p>
        </w:tc>
      </w:tr>
    </w:tbl>
    <w:p w:rsidR="00902052" w:rsidRPr="00746FE0" w:rsidRDefault="00746FE0"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color w:val="FF0000"/>
          <w:spacing w:val="7"/>
          <w:sz w:val="28"/>
          <w:szCs w:val="28"/>
          <w:lang w:eastAsia="uk-UA"/>
        </w:rPr>
        <w:t> </w:t>
      </w:r>
      <w:r w:rsidR="00902052" w:rsidRPr="00746FE0">
        <w:rPr>
          <w:rFonts w:ascii="Times New Roman" w:eastAsia="Times New Roman" w:hAnsi="Times New Roman" w:cs="Times New Roman"/>
          <w:spacing w:val="7"/>
          <w:sz w:val="28"/>
          <w:szCs w:val="28"/>
          <w:lang w:eastAsia="uk-UA"/>
        </w:rPr>
        <w:t>Основні макроекономічні показники економічного та соціального розвитку України у 2020-2024 роках.</w:t>
      </w:r>
    </w:p>
    <w:p w:rsidR="00902052" w:rsidRPr="00746FE0"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p>
    <w:tbl>
      <w:tblPr>
        <w:tblW w:w="964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757"/>
        <w:gridCol w:w="1064"/>
        <w:gridCol w:w="1125"/>
        <w:gridCol w:w="1233"/>
        <w:gridCol w:w="1233"/>
        <w:gridCol w:w="1233"/>
      </w:tblGrid>
      <w:tr w:rsidR="00100414" w:rsidRPr="00746FE0" w:rsidTr="00902052">
        <w:tc>
          <w:tcPr>
            <w:tcW w:w="4141"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Найменування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показника</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одиниця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виміру</w:t>
            </w:r>
            <w:proofErr w:type="spellEnd"/>
          </w:p>
        </w:tc>
        <w:tc>
          <w:tcPr>
            <w:tcW w:w="1103"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2020р. (факт)</w:t>
            </w:r>
          </w:p>
        </w:tc>
        <w:tc>
          <w:tcPr>
            <w:tcW w:w="1100"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2021р. (</w:t>
            </w:r>
            <w:proofErr w:type="spellStart"/>
            <w:r w:rsidRPr="00746FE0">
              <w:rPr>
                <w:rFonts w:ascii="Times New Roman" w:eastAsia="Times New Roman" w:hAnsi="Times New Roman" w:cs="Times New Roman"/>
                <w:sz w:val="28"/>
                <w:szCs w:val="28"/>
                <w:lang w:val="ru-RU" w:eastAsia="uk-UA"/>
              </w:rPr>
              <w:t>очікув</w:t>
            </w:r>
            <w:proofErr w:type="spellEnd"/>
            <w:r w:rsidRPr="00746FE0">
              <w:rPr>
                <w:rFonts w:ascii="Times New Roman" w:eastAsia="Times New Roman" w:hAnsi="Times New Roman" w:cs="Times New Roman"/>
                <w:sz w:val="28"/>
                <w:szCs w:val="28"/>
                <w:lang w:val="ru-RU" w:eastAsia="uk-UA"/>
              </w:rPr>
              <w:t>.)</w:t>
            </w:r>
          </w:p>
        </w:tc>
        <w:tc>
          <w:tcPr>
            <w:tcW w:w="1102"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2022р. (прогноз)</w:t>
            </w:r>
          </w:p>
        </w:tc>
        <w:tc>
          <w:tcPr>
            <w:tcW w:w="1100" w:type="dxa"/>
            <w:tcBorders>
              <w:top w:val="single" w:sz="8" w:space="0" w:color="000000"/>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2023р. (прогноз)</w:t>
            </w:r>
          </w:p>
        </w:tc>
        <w:tc>
          <w:tcPr>
            <w:tcW w:w="10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2024р. (прогноз)</w:t>
            </w:r>
          </w:p>
        </w:tc>
      </w:tr>
      <w:tr w:rsidR="00100414" w:rsidRPr="00746FE0" w:rsidTr="00902052">
        <w:tc>
          <w:tcPr>
            <w:tcW w:w="9645" w:type="dxa"/>
            <w:gridSpan w:val="6"/>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b/>
                <w:bCs/>
                <w:sz w:val="28"/>
                <w:szCs w:val="28"/>
                <w:lang w:val="ru-RU" w:eastAsia="uk-UA"/>
              </w:rPr>
              <w:t>Основні</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макропоказники</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економічного</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розвитку</w:t>
            </w:r>
            <w:proofErr w:type="spellEnd"/>
            <w:r w:rsidRPr="00746FE0">
              <w:rPr>
                <w:rFonts w:ascii="Times New Roman" w:eastAsia="Times New Roman" w:hAnsi="Times New Roman" w:cs="Times New Roman"/>
                <w:b/>
                <w:bCs/>
                <w:sz w:val="28"/>
                <w:szCs w:val="28"/>
                <w:lang w:val="ru-RU" w:eastAsia="uk-UA"/>
              </w:rPr>
              <w:t xml:space="preserve"> </w:t>
            </w:r>
            <w:proofErr w:type="spellStart"/>
            <w:r w:rsidRPr="00746FE0">
              <w:rPr>
                <w:rFonts w:ascii="Times New Roman" w:eastAsia="Times New Roman" w:hAnsi="Times New Roman" w:cs="Times New Roman"/>
                <w:b/>
                <w:bCs/>
                <w:sz w:val="28"/>
                <w:szCs w:val="28"/>
                <w:lang w:val="ru-RU" w:eastAsia="uk-UA"/>
              </w:rPr>
              <w:t>України</w:t>
            </w:r>
            <w:proofErr w:type="spellEnd"/>
          </w:p>
        </w:tc>
      </w:tr>
      <w:tr w:rsidR="00100414" w:rsidRPr="00746FE0" w:rsidTr="00902052">
        <w:tc>
          <w:tcPr>
            <w:tcW w:w="4141"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Валовий</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внутрішній</w:t>
            </w:r>
            <w:proofErr w:type="spellEnd"/>
            <w:r w:rsidRPr="00746FE0">
              <w:rPr>
                <w:rFonts w:ascii="Times New Roman" w:eastAsia="Times New Roman" w:hAnsi="Times New Roman" w:cs="Times New Roman"/>
                <w:sz w:val="28"/>
                <w:szCs w:val="28"/>
                <w:lang w:val="ru-RU" w:eastAsia="uk-UA"/>
              </w:rPr>
              <w:t xml:space="preserve"> продукт (</w:t>
            </w:r>
            <w:proofErr w:type="gramStart"/>
            <w:r w:rsidRPr="00746FE0">
              <w:rPr>
                <w:rFonts w:ascii="Times New Roman" w:eastAsia="Times New Roman" w:hAnsi="Times New Roman" w:cs="Times New Roman"/>
                <w:sz w:val="28"/>
                <w:szCs w:val="28"/>
                <w:lang w:val="ru-RU" w:eastAsia="uk-UA"/>
              </w:rPr>
              <w:t>у</w:t>
            </w:r>
            <w:proofErr w:type="gram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відсотках</w:t>
            </w:r>
            <w:proofErr w:type="spellEnd"/>
            <w:r w:rsidRPr="00746FE0">
              <w:rPr>
                <w:rFonts w:ascii="Times New Roman" w:eastAsia="Times New Roman" w:hAnsi="Times New Roman" w:cs="Times New Roman"/>
                <w:sz w:val="28"/>
                <w:szCs w:val="28"/>
                <w:lang w:val="ru-RU" w:eastAsia="uk-UA"/>
              </w:rPr>
              <w:t xml:space="preserve"> до </w:t>
            </w:r>
            <w:proofErr w:type="spellStart"/>
            <w:r w:rsidRPr="00746FE0">
              <w:rPr>
                <w:rFonts w:ascii="Times New Roman" w:eastAsia="Times New Roman" w:hAnsi="Times New Roman" w:cs="Times New Roman"/>
                <w:sz w:val="28"/>
                <w:szCs w:val="28"/>
                <w:lang w:val="ru-RU" w:eastAsia="uk-UA"/>
              </w:rPr>
              <w:t>попереднього</w:t>
            </w:r>
            <w:proofErr w:type="spellEnd"/>
            <w:r w:rsidRPr="00746FE0">
              <w:rPr>
                <w:rFonts w:ascii="Times New Roman" w:eastAsia="Times New Roman" w:hAnsi="Times New Roman" w:cs="Times New Roman"/>
                <w:sz w:val="28"/>
                <w:szCs w:val="28"/>
                <w:lang w:val="ru-RU" w:eastAsia="uk-UA"/>
              </w:rPr>
              <w:t xml:space="preserve"> року)</w:t>
            </w:r>
          </w:p>
        </w:tc>
        <w:tc>
          <w:tcPr>
            <w:tcW w:w="1103"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95,2</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104,6</w:t>
            </w:r>
          </w:p>
        </w:tc>
        <w:tc>
          <w:tcPr>
            <w:tcW w:w="1102"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104,3</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104,7</w:t>
            </w:r>
          </w:p>
        </w:tc>
        <w:tc>
          <w:tcPr>
            <w:tcW w:w="1099"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104,8</w:t>
            </w:r>
          </w:p>
        </w:tc>
      </w:tr>
      <w:tr w:rsidR="00100414" w:rsidRPr="00746FE0" w:rsidTr="00902052">
        <w:tc>
          <w:tcPr>
            <w:tcW w:w="4141"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Індекс</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споживчих</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цін</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грудень</w:t>
            </w:r>
            <w:proofErr w:type="spellEnd"/>
            <w:r w:rsidRPr="00746FE0">
              <w:rPr>
                <w:rFonts w:ascii="Times New Roman" w:eastAsia="Times New Roman" w:hAnsi="Times New Roman" w:cs="Times New Roman"/>
                <w:sz w:val="28"/>
                <w:szCs w:val="28"/>
                <w:lang w:val="ru-RU" w:eastAsia="uk-UA"/>
              </w:rPr>
              <w:t xml:space="preserve"> до </w:t>
            </w:r>
            <w:proofErr w:type="spellStart"/>
            <w:r w:rsidRPr="00746FE0">
              <w:rPr>
                <w:rFonts w:ascii="Times New Roman" w:eastAsia="Times New Roman" w:hAnsi="Times New Roman" w:cs="Times New Roman"/>
                <w:sz w:val="28"/>
                <w:szCs w:val="28"/>
                <w:lang w:val="ru-RU" w:eastAsia="uk-UA"/>
              </w:rPr>
              <w:t>грудня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попереднього</w:t>
            </w:r>
            <w:proofErr w:type="spellEnd"/>
            <w:r w:rsidRPr="00746FE0">
              <w:rPr>
                <w:rFonts w:ascii="Times New Roman" w:eastAsia="Times New Roman" w:hAnsi="Times New Roman" w:cs="Times New Roman"/>
                <w:sz w:val="28"/>
                <w:szCs w:val="28"/>
                <w:lang w:val="ru-RU" w:eastAsia="uk-UA"/>
              </w:rPr>
              <w:t xml:space="preserve"> року)</w:t>
            </w:r>
          </w:p>
        </w:tc>
        <w:tc>
          <w:tcPr>
            <w:tcW w:w="1103"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105,9</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107,3</w:t>
            </w:r>
          </w:p>
        </w:tc>
        <w:tc>
          <w:tcPr>
            <w:tcW w:w="1102"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106,2</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105,3</w:t>
            </w:r>
          </w:p>
        </w:tc>
        <w:tc>
          <w:tcPr>
            <w:tcW w:w="1099"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106,1</w:t>
            </w:r>
          </w:p>
        </w:tc>
      </w:tr>
      <w:tr w:rsidR="00100414" w:rsidRPr="00746FE0" w:rsidTr="00902052">
        <w:tc>
          <w:tcPr>
            <w:tcW w:w="4141"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rPr>
                <w:rFonts w:ascii="Times New Roman" w:eastAsia="Times New Roman" w:hAnsi="Times New Roman" w:cs="Times New Roman"/>
                <w:sz w:val="28"/>
                <w:szCs w:val="28"/>
                <w:lang w:eastAsia="uk-UA"/>
              </w:rPr>
            </w:pPr>
            <w:proofErr w:type="spellStart"/>
            <w:r w:rsidRPr="00746FE0">
              <w:rPr>
                <w:rFonts w:ascii="Times New Roman" w:eastAsia="Times New Roman" w:hAnsi="Times New Roman" w:cs="Times New Roman"/>
                <w:sz w:val="28"/>
                <w:szCs w:val="28"/>
                <w:lang w:val="ru-RU" w:eastAsia="uk-UA"/>
              </w:rPr>
              <w:t>Індекс</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цін</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виробників</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грудень</w:t>
            </w:r>
            <w:proofErr w:type="spellEnd"/>
            <w:r w:rsidRPr="00746FE0">
              <w:rPr>
                <w:rFonts w:ascii="Times New Roman" w:eastAsia="Times New Roman" w:hAnsi="Times New Roman" w:cs="Times New Roman"/>
                <w:sz w:val="28"/>
                <w:szCs w:val="28"/>
                <w:lang w:val="ru-RU" w:eastAsia="uk-UA"/>
              </w:rPr>
              <w:t xml:space="preserve"> до </w:t>
            </w:r>
            <w:proofErr w:type="spellStart"/>
            <w:r w:rsidRPr="00746FE0">
              <w:rPr>
                <w:rFonts w:ascii="Times New Roman" w:eastAsia="Times New Roman" w:hAnsi="Times New Roman" w:cs="Times New Roman"/>
                <w:sz w:val="28"/>
                <w:szCs w:val="28"/>
                <w:lang w:val="ru-RU" w:eastAsia="uk-UA"/>
              </w:rPr>
              <w:t>грудня</w:t>
            </w:r>
            <w:proofErr w:type="spellEnd"/>
            <w:r w:rsidRPr="00746FE0">
              <w:rPr>
                <w:rFonts w:ascii="Times New Roman" w:eastAsia="Times New Roman" w:hAnsi="Times New Roman" w:cs="Times New Roman"/>
                <w:sz w:val="28"/>
                <w:szCs w:val="28"/>
                <w:lang w:val="ru-RU" w:eastAsia="uk-UA"/>
              </w:rPr>
              <w:t xml:space="preserve"> </w:t>
            </w:r>
            <w:proofErr w:type="spellStart"/>
            <w:r w:rsidRPr="00746FE0">
              <w:rPr>
                <w:rFonts w:ascii="Times New Roman" w:eastAsia="Times New Roman" w:hAnsi="Times New Roman" w:cs="Times New Roman"/>
                <w:sz w:val="28"/>
                <w:szCs w:val="28"/>
                <w:lang w:val="ru-RU" w:eastAsia="uk-UA"/>
              </w:rPr>
              <w:t>попереднього</w:t>
            </w:r>
            <w:proofErr w:type="spellEnd"/>
            <w:r w:rsidRPr="00746FE0">
              <w:rPr>
                <w:rFonts w:ascii="Times New Roman" w:eastAsia="Times New Roman" w:hAnsi="Times New Roman" w:cs="Times New Roman"/>
                <w:sz w:val="28"/>
                <w:szCs w:val="28"/>
                <w:lang w:val="ru-RU" w:eastAsia="uk-UA"/>
              </w:rPr>
              <w:t xml:space="preserve"> року)</w:t>
            </w:r>
          </w:p>
        </w:tc>
        <w:tc>
          <w:tcPr>
            <w:tcW w:w="1103"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104,6</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108,7</w:t>
            </w:r>
          </w:p>
        </w:tc>
        <w:tc>
          <w:tcPr>
            <w:tcW w:w="1102"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108,0</w:t>
            </w:r>
          </w:p>
        </w:tc>
        <w:tc>
          <w:tcPr>
            <w:tcW w:w="1100" w:type="dxa"/>
            <w:tcBorders>
              <w:top w:val="nil"/>
              <w:left w:val="single" w:sz="8" w:space="0" w:color="000000"/>
              <w:bottom w:val="single" w:sz="8" w:space="0" w:color="000000"/>
              <w:right w:val="nil"/>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106,1</w:t>
            </w:r>
          </w:p>
        </w:tc>
        <w:tc>
          <w:tcPr>
            <w:tcW w:w="1099" w:type="dxa"/>
            <w:tcBorders>
              <w:top w:val="nil"/>
              <w:left w:val="single" w:sz="8" w:space="0" w:color="000000"/>
              <w:bottom w:val="single" w:sz="8" w:space="0" w:color="000000"/>
              <w:right w:val="single" w:sz="8" w:space="0" w:color="000000"/>
            </w:tcBorders>
            <w:shd w:val="clear" w:color="auto" w:fill="FFFFFF"/>
            <w:tcMar>
              <w:top w:w="55" w:type="dxa"/>
              <w:left w:w="46" w:type="dxa"/>
              <w:bottom w:w="55" w:type="dxa"/>
              <w:right w:w="55" w:type="dxa"/>
            </w:tcMar>
            <w:vAlign w:val="center"/>
            <w:hideMark/>
          </w:tcPr>
          <w:p w:rsidR="00902052" w:rsidRPr="00746FE0" w:rsidRDefault="00902052" w:rsidP="00902052">
            <w:pPr>
              <w:spacing w:after="160" w:line="240" w:lineRule="auto"/>
              <w:jc w:val="center"/>
              <w:rPr>
                <w:rFonts w:ascii="Times New Roman" w:eastAsia="Times New Roman" w:hAnsi="Times New Roman" w:cs="Times New Roman"/>
                <w:sz w:val="28"/>
                <w:szCs w:val="28"/>
                <w:lang w:eastAsia="uk-UA"/>
              </w:rPr>
            </w:pPr>
            <w:r w:rsidRPr="00746FE0">
              <w:rPr>
                <w:rFonts w:ascii="Times New Roman" w:eastAsia="Times New Roman" w:hAnsi="Times New Roman" w:cs="Times New Roman"/>
                <w:sz w:val="28"/>
                <w:szCs w:val="28"/>
                <w:lang w:val="ru-RU" w:eastAsia="uk-UA"/>
              </w:rPr>
              <w:t>106,4</w:t>
            </w:r>
          </w:p>
        </w:tc>
      </w:tr>
    </w:tbl>
    <w:p w:rsidR="00902052" w:rsidRPr="00746FE0"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746FE0">
        <w:rPr>
          <w:rFonts w:ascii="Times New Roman" w:eastAsia="Times New Roman" w:hAnsi="Times New Roman" w:cs="Times New Roman"/>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D1679E"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b/>
          <w:bCs/>
          <w:spacing w:val="7"/>
          <w:sz w:val="28"/>
          <w:szCs w:val="28"/>
          <w:shd w:val="clear" w:color="auto" w:fill="FFFFFF"/>
          <w:lang w:eastAsia="uk-UA"/>
        </w:rPr>
        <w:t>ІІІ. Загальні показники бюджету</w:t>
      </w:r>
    </w:p>
    <w:p w:rsidR="00902052" w:rsidRPr="00D1679E"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spacing w:val="7"/>
          <w:sz w:val="28"/>
          <w:szCs w:val="28"/>
          <w:shd w:val="clear" w:color="auto" w:fill="FFFFFF"/>
          <w:lang w:eastAsia="uk-UA"/>
        </w:rPr>
        <w:t xml:space="preserve">Прогноз включає показники бюджету </w:t>
      </w:r>
      <w:r w:rsidR="00D1679E" w:rsidRPr="00D1679E">
        <w:rPr>
          <w:rFonts w:ascii="Times New Roman" w:eastAsia="Times New Roman" w:hAnsi="Times New Roman" w:cs="Times New Roman"/>
          <w:spacing w:val="7"/>
          <w:sz w:val="28"/>
          <w:szCs w:val="28"/>
          <w:shd w:val="clear" w:color="auto" w:fill="FFFFFF"/>
          <w:lang w:eastAsia="uk-UA"/>
        </w:rPr>
        <w:t xml:space="preserve">Більшівцівської </w:t>
      </w:r>
      <w:r w:rsidRPr="00D1679E">
        <w:rPr>
          <w:rFonts w:ascii="Times New Roman" w:eastAsia="Times New Roman" w:hAnsi="Times New Roman" w:cs="Times New Roman"/>
          <w:spacing w:val="7"/>
          <w:sz w:val="28"/>
          <w:szCs w:val="28"/>
          <w:shd w:val="clear" w:color="auto" w:fill="FFFFFF"/>
          <w:lang w:eastAsia="uk-UA"/>
        </w:rPr>
        <w:t xml:space="preserve"> територіальної громади за основними видами доходів, видатків, кредитування та </w:t>
      </w:r>
      <w:r w:rsidRPr="00D1679E">
        <w:rPr>
          <w:rFonts w:ascii="Times New Roman" w:eastAsia="Times New Roman" w:hAnsi="Times New Roman" w:cs="Times New Roman"/>
          <w:spacing w:val="7"/>
          <w:sz w:val="28"/>
          <w:szCs w:val="28"/>
          <w:shd w:val="clear" w:color="auto" w:fill="FFFFFF"/>
          <w:lang w:eastAsia="uk-UA"/>
        </w:rPr>
        <w:lastRenderedPageBreak/>
        <w:t>фінансування, взаємовідносинами бюджету територіальної громади з бюджетами інших рівнів, враховує положення та показники, визначені прогнозом, схваленим у попередньому бюджетному періоді, а також прогнозні показники за бюджетними програмами.</w:t>
      </w:r>
    </w:p>
    <w:p w:rsidR="00902052" w:rsidRPr="00D1679E"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spacing w:val="7"/>
          <w:sz w:val="28"/>
          <w:szCs w:val="28"/>
          <w:shd w:val="clear" w:color="auto" w:fill="FFFFFF"/>
          <w:lang w:eastAsia="uk-UA"/>
        </w:rPr>
        <w:t xml:space="preserve">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w:t>
      </w:r>
      <w:proofErr w:type="spellStart"/>
      <w:r w:rsidRPr="00D1679E">
        <w:rPr>
          <w:rFonts w:ascii="Times New Roman" w:eastAsia="Times New Roman" w:hAnsi="Times New Roman" w:cs="Times New Roman"/>
          <w:spacing w:val="7"/>
          <w:sz w:val="28"/>
          <w:szCs w:val="28"/>
          <w:shd w:val="clear" w:color="auto" w:fill="FFFFFF"/>
          <w:lang w:eastAsia="uk-UA"/>
        </w:rPr>
        <w:t>проєкту</w:t>
      </w:r>
      <w:proofErr w:type="spellEnd"/>
      <w:r w:rsidRPr="00D1679E">
        <w:rPr>
          <w:rFonts w:ascii="Times New Roman" w:eastAsia="Times New Roman" w:hAnsi="Times New Roman" w:cs="Times New Roman"/>
          <w:spacing w:val="7"/>
          <w:sz w:val="28"/>
          <w:szCs w:val="28"/>
          <w:shd w:val="clear" w:color="auto" w:fill="FFFFFF"/>
          <w:lang w:eastAsia="uk-UA"/>
        </w:rPr>
        <w:t xml:space="preserve"> бюджету територіальної громади на 2022 рік. Формування </w:t>
      </w:r>
      <w:proofErr w:type="spellStart"/>
      <w:r w:rsidRPr="00D1679E">
        <w:rPr>
          <w:rFonts w:ascii="Times New Roman" w:eastAsia="Times New Roman" w:hAnsi="Times New Roman" w:cs="Times New Roman"/>
          <w:spacing w:val="7"/>
          <w:sz w:val="28"/>
          <w:szCs w:val="28"/>
          <w:shd w:val="clear" w:color="auto" w:fill="FFFFFF"/>
          <w:lang w:eastAsia="uk-UA"/>
        </w:rPr>
        <w:t>проєкту</w:t>
      </w:r>
      <w:proofErr w:type="spellEnd"/>
      <w:r w:rsidRPr="00D1679E">
        <w:rPr>
          <w:rFonts w:ascii="Times New Roman" w:eastAsia="Times New Roman" w:hAnsi="Times New Roman" w:cs="Times New Roman"/>
          <w:spacing w:val="7"/>
          <w:sz w:val="28"/>
          <w:szCs w:val="28"/>
          <w:shd w:val="clear" w:color="auto" w:fill="FFFFFF"/>
          <w:lang w:eastAsia="uk-UA"/>
        </w:rPr>
        <w:t xml:space="preserve"> бюджету на відповідний рік здійснюватиметься з урахуванням змін основних прогнозних показників економічного і соціального розвитку територіальної громади, а також змін у нормативно-правовій базі.</w:t>
      </w:r>
    </w:p>
    <w:p w:rsidR="00902052" w:rsidRPr="00D1679E"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1679E">
        <w:rPr>
          <w:rFonts w:ascii="Times New Roman" w:eastAsia="Times New Roman" w:hAnsi="Times New Roman" w:cs="Times New Roman"/>
          <w:spacing w:val="7"/>
          <w:sz w:val="28"/>
          <w:szCs w:val="28"/>
          <w:shd w:val="clear" w:color="auto" w:fill="FFFFFF"/>
          <w:lang w:eastAsia="uk-UA"/>
        </w:rPr>
        <w:t xml:space="preserve">При розрахунку показників бюджету </w:t>
      </w:r>
      <w:r w:rsidR="00D1679E" w:rsidRPr="00D1679E">
        <w:rPr>
          <w:rFonts w:ascii="Times New Roman" w:eastAsia="Times New Roman" w:hAnsi="Times New Roman" w:cs="Times New Roman"/>
          <w:spacing w:val="7"/>
          <w:sz w:val="28"/>
          <w:szCs w:val="28"/>
          <w:shd w:val="clear" w:color="auto" w:fill="FFFFFF"/>
          <w:lang w:eastAsia="uk-UA"/>
        </w:rPr>
        <w:t xml:space="preserve">Більшівцівської </w:t>
      </w:r>
      <w:r w:rsidRPr="00D1679E">
        <w:rPr>
          <w:rFonts w:ascii="Times New Roman" w:eastAsia="Times New Roman" w:hAnsi="Times New Roman" w:cs="Times New Roman"/>
          <w:spacing w:val="7"/>
          <w:sz w:val="28"/>
          <w:szCs w:val="28"/>
          <w:shd w:val="clear" w:color="auto" w:fill="FFFFFF"/>
          <w:lang w:eastAsia="uk-UA"/>
        </w:rPr>
        <w:t>територіальної громади на 2022-2024 роки враховано підвищення розміру мінімальної заробітної плати, динаміку надходжень за 2019 - 2020 роки та очікуване виконання за 2021 рік, норми податкового та бюджетного законодавства та застосування чинних ставок оподаткування, індекс споживчих цін.</w:t>
      </w:r>
    </w:p>
    <w:p w:rsidR="00902052" w:rsidRPr="000F1E14"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0F1E14">
        <w:rPr>
          <w:rFonts w:ascii="Times New Roman" w:eastAsia="Times New Roman" w:hAnsi="Times New Roman" w:cs="Times New Roman"/>
          <w:spacing w:val="7"/>
          <w:sz w:val="28"/>
          <w:szCs w:val="28"/>
          <w:shd w:val="clear" w:color="auto" w:fill="FFFFFF"/>
          <w:lang w:eastAsia="uk-UA"/>
        </w:rPr>
        <w:t xml:space="preserve">Обсяг ресурсу бюджету </w:t>
      </w:r>
      <w:proofErr w:type="spellStart"/>
      <w:r w:rsidR="00D1679E" w:rsidRPr="000F1E14">
        <w:rPr>
          <w:rFonts w:ascii="Times New Roman" w:eastAsia="Times New Roman" w:hAnsi="Times New Roman" w:cs="Times New Roman"/>
          <w:spacing w:val="7"/>
          <w:sz w:val="28"/>
          <w:szCs w:val="28"/>
          <w:shd w:val="clear" w:color="auto" w:fill="FFFFFF"/>
          <w:lang w:eastAsia="uk-UA"/>
        </w:rPr>
        <w:t>Більшівцівсько</w:t>
      </w:r>
      <w:proofErr w:type="spellEnd"/>
      <w:r w:rsidRPr="000F1E14">
        <w:rPr>
          <w:rFonts w:ascii="Times New Roman" w:eastAsia="Times New Roman" w:hAnsi="Times New Roman" w:cs="Times New Roman"/>
          <w:spacing w:val="7"/>
          <w:sz w:val="28"/>
          <w:szCs w:val="28"/>
          <w:shd w:val="clear" w:color="auto" w:fill="FFFFFF"/>
          <w:lang w:eastAsia="uk-UA"/>
        </w:rPr>
        <w:t xml:space="preserve"> територіальної громади на 2022-2024 роки прогнозується в </w:t>
      </w:r>
      <w:proofErr w:type="spellStart"/>
      <w:r w:rsidRPr="000F1E14">
        <w:rPr>
          <w:rFonts w:ascii="Times New Roman" w:eastAsia="Times New Roman" w:hAnsi="Times New Roman" w:cs="Times New Roman"/>
          <w:spacing w:val="7"/>
          <w:sz w:val="28"/>
          <w:szCs w:val="28"/>
          <w:shd w:val="clear" w:color="auto" w:fill="FFFFFF"/>
          <w:lang w:eastAsia="uk-UA"/>
        </w:rPr>
        <w:t>обсягах  </w:t>
      </w:r>
      <w:proofErr w:type="spellEnd"/>
      <w:r w:rsidR="00A33B98">
        <w:rPr>
          <w:rFonts w:ascii="Times New Roman" w:eastAsia="Times New Roman" w:hAnsi="Times New Roman" w:cs="Times New Roman"/>
          <w:spacing w:val="7"/>
          <w:sz w:val="28"/>
          <w:szCs w:val="28"/>
          <w:shd w:val="clear" w:color="auto" w:fill="FFFFFF"/>
          <w:lang w:eastAsia="uk-UA"/>
        </w:rPr>
        <w:t xml:space="preserve">49481600 </w:t>
      </w:r>
      <w:r w:rsidRPr="000F1E14">
        <w:rPr>
          <w:rFonts w:ascii="Times New Roman" w:eastAsia="Times New Roman" w:hAnsi="Times New Roman" w:cs="Times New Roman"/>
          <w:spacing w:val="7"/>
          <w:sz w:val="28"/>
          <w:szCs w:val="28"/>
          <w:shd w:val="clear" w:color="auto" w:fill="FFFFFF"/>
          <w:lang w:eastAsia="uk-UA"/>
        </w:rPr>
        <w:t>грн., </w:t>
      </w:r>
      <w:r w:rsidR="00A33B98">
        <w:rPr>
          <w:rFonts w:ascii="Times New Roman" w:eastAsia="Times New Roman" w:hAnsi="Times New Roman" w:cs="Times New Roman"/>
          <w:spacing w:val="7"/>
          <w:sz w:val="28"/>
          <w:szCs w:val="28"/>
          <w:shd w:val="clear" w:color="auto" w:fill="FFFFFF"/>
          <w:lang w:eastAsia="uk-UA"/>
        </w:rPr>
        <w:t>54884750</w:t>
      </w:r>
      <w:r w:rsidR="000F1E14" w:rsidRPr="000F1E14">
        <w:rPr>
          <w:rFonts w:ascii="Times New Roman" w:eastAsia="Times New Roman" w:hAnsi="Times New Roman" w:cs="Times New Roman"/>
          <w:spacing w:val="7"/>
          <w:sz w:val="28"/>
          <w:szCs w:val="28"/>
          <w:shd w:val="clear" w:color="auto" w:fill="FFFFFF"/>
          <w:lang w:eastAsia="uk-UA"/>
        </w:rPr>
        <w:t xml:space="preserve"> </w:t>
      </w:r>
      <w:r w:rsidRPr="000F1E14">
        <w:rPr>
          <w:rFonts w:ascii="Times New Roman" w:eastAsia="Times New Roman" w:hAnsi="Times New Roman" w:cs="Times New Roman"/>
          <w:spacing w:val="7"/>
          <w:sz w:val="28"/>
          <w:szCs w:val="28"/>
          <w:shd w:val="clear" w:color="auto" w:fill="FFFFFF"/>
          <w:lang w:eastAsia="uk-UA"/>
        </w:rPr>
        <w:t> грн. та </w:t>
      </w:r>
      <w:r w:rsidR="00A33B98">
        <w:rPr>
          <w:rFonts w:ascii="Times New Roman" w:eastAsia="Times New Roman" w:hAnsi="Times New Roman" w:cs="Times New Roman"/>
          <w:spacing w:val="7"/>
          <w:sz w:val="28"/>
          <w:szCs w:val="28"/>
          <w:shd w:val="clear" w:color="auto" w:fill="FFFFFF"/>
          <w:lang w:eastAsia="uk-UA"/>
        </w:rPr>
        <w:t>59734200</w:t>
      </w:r>
      <w:r w:rsidRPr="000F1E14">
        <w:rPr>
          <w:rFonts w:ascii="Times New Roman" w:eastAsia="Times New Roman" w:hAnsi="Times New Roman" w:cs="Times New Roman"/>
          <w:spacing w:val="7"/>
          <w:sz w:val="28"/>
          <w:szCs w:val="28"/>
          <w:shd w:val="clear" w:color="auto" w:fill="FFFFFF"/>
          <w:lang w:eastAsia="uk-UA"/>
        </w:rPr>
        <w:t> грн. відповідно.</w:t>
      </w:r>
    </w:p>
    <w:p w:rsidR="00902052" w:rsidRPr="000F1E14"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0F1E14">
        <w:rPr>
          <w:rFonts w:ascii="Times New Roman" w:eastAsia="Times New Roman" w:hAnsi="Times New Roman" w:cs="Times New Roman"/>
          <w:b/>
          <w:bCs/>
          <w:spacing w:val="7"/>
          <w:sz w:val="28"/>
          <w:szCs w:val="28"/>
          <w:shd w:val="clear" w:color="auto" w:fill="FFFFFF"/>
          <w:lang w:eastAsia="uk-UA"/>
        </w:rPr>
        <w:t>ІV. Показники доходів бюджету</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color w:val="FF0000"/>
          <w:spacing w:val="7"/>
          <w:sz w:val="28"/>
          <w:szCs w:val="28"/>
          <w:shd w:val="clear" w:color="auto" w:fill="FFFFFF"/>
          <w:lang w:eastAsia="uk-UA"/>
        </w:rPr>
        <w:t>  </w:t>
      </w:r>
      <w:r w:rsidRPr="00BD0FF8">
        <w:rPr>
          <w:rFonts w:ascii="Times New Roman" w:eastAsia="Times New Roman" w:hAnsi="Times New Roman" w:cs="Times New Roman"/>
          <w:spacing w:val="7"/>
          <w:sz w:val="28"/>
          <w:szCs w:val="28"/>
          <w:shd w:val="clear" w:color="auto" w:fill="FFFFFF"/>
          <w:lang w:eastAsia="uk-UA"/>
        </w:rPr>
        <w:t xml:space="preserve">Законодавчою основою формування дохідної частини бюджету </w:t>
      </w:r>
      <w:r w:rsidR="000F1E14" w:rsidRPr="00BD0FF8">
        <w:rPr>
          <w:rFonts w:ascii="Times New Roman" w:eastAsia="Times New Roman" w:hAnsi="Times New Roman" w:cs="Times New Roman"/>
          <w:spacing w:val="7"/>
          <w:sz w:val="28"/>
          <w:szCs w:val="28"/>
          <w:shd w:val="clear" w:color="auto" w:fill="FFFFFF"/>
          <w:lang w:eastAsia="uk-UA"/>
        </w:rPr>
        <w:t>Більшівцівської</w:t>
      </w:r>
      <w:r w:rsidRPr="00BD0FF8">
        <w:rPr>
          <w:rFonts w:ascii="Times New Roman" w:eastAsia="Times New Roman" w:hAnsi="Times New Roman" w:cs="Times New Roman"/>
          <w:spacing w:val="7"/>
          <w:sz w:val="28"/>
          <w:szCs w:val="28"/>
          <w:shd w:val="clear" w:color="auto" w:fill="FFFFFF"/>
          <w:lang w:eastAsia="uk-UA"/>
        </w:rPr>
        <w:t xml:space="preserve"> територіальної громади є норми Бюджетного та Податкового кодексів України.</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При прогнозуванні обсягу доходів бюджету територіальної громади на 2022-2024 роки враховано:</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 фактичні показники економічного і соціального розвитку територіальної громади за 2020 рік;</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xml:space="preserve"> - очікувані показники економічного і соціального розвитку </w:t>
      </w:r>
      <w:r w:rsidR="00BD0FF8" w:rsidRPr="00BD0FF8">
        <w:rPr>
          <w:rFonts w:ascii="Times New Roman" w:eastAsia="Times New Roman" w:hAnsi="Times New Roman" w:cs="Times New Roman"/>
          <w:spacing w:val="7"/>
          <w:sz w:val="28"/>
          <w:szCs w:val="28"/>
          <w:shd w:val="clear" w:color="auto" w:fill="FFFFFF"/>
          <w:lang w:eastAsia="uk-UA"/>
        </w:rPr>
        <w:t>Більшівцівської</w:t>
      </w:r>
      <w:r w:rsidRPr="00BD0FF8">
        <w:rPr>
          <w:rFonts w:ascii="Times New Roman" w:eastAsia="Times New Roman" w:hAnsi="Times New Roman" w:cs="Times New Roman"/>
          <w:spacing w:val="7"/>
          <w:sz w:val="28"/>
          <w:szCs w:val="28"/>
          <w:shd w:val="clear" w:color="auto" w:fill="FFFFFF"/>
          <w:lang w:eastAsia="uk-UA"/>
        </w:rPr>
        <w:t xml:space="preserve"> територіальної громади за 2021 рік;</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прогнозні показники економічного і соціального розвитку на 2022-2024 роки;</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xml:space="preserve">- </w:t>
      </w:r>
      <w:proofErr w:type="spellStart"/>
      <w:r w:rsidRPr="00BD0FF8">
        <w:rPr>
          <w:rFonts w:ascii="Times New Roman" w:eastAsia="Times New Roman" w:hAnsi="Times New Roman" w:cs="Times New Roman"/>
          <w:spacing w:val="7"/>
          <w:sz w:val="28"/>
          <w:szCs w:val="28"/>
          <w:shd w:val="clear" w:color="auto" w:fill="FFFFFF"/>
          <w:lang w:eastAsia="uk-UA"/>
        </w:rPr>
        <w:t>макропоказники</w:t>
      </w:r>
      <w:proofErr w:type="spellEnd"/>
      <w:r w:rsidRPr="00BD0FF8">
        <w:rPr>
          <w:rFonts w:ascii="Times New Roman" w:eastAsia="Times New Roman" w:hAnsi="Times New Roman" w:cs="Times New Roman"/>
          <w:spacing w:val="7"/>
          <w:sz w:val="28"/>
          <w:szCs w:val="28"/>
          <w:shd w:val="clear" w:color="auto" w:fill="FFFFFF"/>
          <w:lang w:eastAsia="uk-UA"/>
        </w:rPr>
        <w:t xml:space="preserve"> економічного і соціального розвитку України на 2022-2024 роки, схвалені постановою Кабінету Міністрів України від 31 травня 2021 р. № 586 та визначені Бюджетною декларацією на 2022-2024 роки, що затверджена постановою Кабінету Міністрів України від 31.05.2021 № 548;</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 застосування чинних ставок загальнодержавних податків;</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t>- застосування індексу споживчих цін, що використовується для визначення коефіцієнта індексації нормативної грошової оцінки земель населених пунктів, із значенням 100 відсотків;</w:t>
      </w:r>
    </w:p>
    <w:p w:rsidR="00902052" w:rsidRPr="00BD0FF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BD0FF8">
        <w:rPr>
          <w:rFonts w:ascii="Times New Roman" w:eastAsia="Times New Roman" w:hAnsi="Times New Roman" w:cs="Times New Roman"/>
          <w:spacing w:val="7"/>
          <w:sz w:val="28"/>
          <w:szCs w:val="28"/>
          <w:shd w:val="clear" w:color="auto" w:fill="FFFFFF"/>
          <w:lang w:eastAsia="uk-UA"/>
        </w:rPr>
        <w:lastRenderedPageBreak/>
        <w:t> - 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w:t>
      </w:r>
    </w:p>
    <w:p w:rsidR="00902052" w:rsidRPr="00A33B98" w:rsidRDefault="00902052" w:rsidP="00902052">
      <w:pPr>
        <w:shd w:val="clear" w:color="auto" w:fill="FFFFFF"/>
        <w:spacing w:before="480" w:after="0" w:line="240" w:lineRule="auto"/>
        <w:outlineLvl w:val="0"/>
        <w:rPr>
          <w:rFonts w:ascii="Times New Roman" w:eastAsia="Times New Roman" w:hAnsi="Times New Roman" w:cs="Times New Roman"/>
          <w:kern w:val="36"/>
          <w:sz w:val="28"/>
          <w:szCs w:val="28"/>
          <w:lang w:eastAsia="uk-UA"/>
        </w:rPr>
      </w:pPr>
      <w:r w:rsidRPr="00A33B98">
        <w:rPr>
          <w:rFonts w:ascii="Times New Roman" w:eastAsia="Times New Roman" w:hAnsi="Times New Roman" w:cs="Times New Roman"/>
          <w:kern w:val="36"/>
          <w:sz w:val="28"/>
          <w:szCs w:val="28"/>
          <w:shd w:val="clear" w:color="auto" w:fill="FFFFFF"/>
          <w:lang w:eastAsia="uk-UA"/>
        </w:rPr>
        <w:t xml:space="preserve">- застосування ставок місцевих податків, встановлених рішеннями сесії </w:t>
      </w:r>
      <w:r w:rsidR="00BD0FF8" w:rsidRPr="00A33B98">
        <w:rPr>
          <w:rFonts w:ascii="Times New Roman" w:eastAsia="Times New Roman" w:hAnsi="Times New Roman" w:cs="Times New Roman"/>
          <w:kern w:val="36"/>
          <w:sz w:val="28"/>
          <w:szCs w:val="28"/>
          <w:shd w:val="clear" w:color="auto" w:fill="FFFFFF"/>
          <w:lang w:eastAsia="uk-UA"/>
        </w:rPr>
        <w:t>Більшівцівської</w:t>
      </w:r>
      <w:r w:rsidRPr="00A33B98">
        <w:rPr>
          <w:rFonts w:ascii="Times New Roman" w:eastAsia="Times New Roman" w:hAnsi="Times New Roman" w:cs="Times New Roman"/>
          <w:kern w:val="36"/>
          <w:sz w:val="28"/>
          <w:szCs w:val="28"/>
          <w:shd w:val="clear" w:color="auto" w:fill="FFFFFF"/>
          <w:lang w:eastAsia="uk-UA"/>
        </w:rPr>
        <w:t xml:space="preserve"> селищної ради  ІХ скликання від </w:t>
      </w:r>
      <w:r w:rsidR="00192452" w:rsidRPr="00A33B98">
        <w:rPr>
          <w:rFonts w:ascii="Times New Roman" w:eastAsia="Times New Roman" w:hAnsi="Times New Roman" w:cs="Times New Roman"/>
          <w:kern w:val="36"/>
          <w:sz w:val="28"/>
          <w:szCs w:val="28"/>
          <w:shd w:val="clear" w:color="auto" w:fill="FFFFFF"/>
          <w:lang w:eastAsia="uk-UA"/>
        </w:rPr>
        <w:t>06.06</w:t>
      </w:r>
      <w:r w:rsidRPr="00A33B98">
        <w:rPr>
          <w:rFonts w:ascii="Times New Roman" w:eastAsia="Times New Roman" w:hAnsi="Times New Roman" w:cs="Times New Roman"/>
          <w:kern w:val="36"/>
          <w:sz w:val="28"/>
          <w:szCs w:val="28"/>
          <w:shd w:val="clear" w:color="auto" w:fill="FFFFFF"/>
          <w:lang w:eastAsia="uk-UA"/>
        </w:rPr>
        <w:t xml:space="preserve">.2021р.№ </w:t>
      </w:r>
      <w:r w:rsidR="00192452" w:rsidRPr="00A33B98">
        <w:rPr>
          <w:rFonts w:ascii="Times New Roman" w:eastAsia="Times New Roman" w:hAnsi="Times New Roman" w:cs="Times New Roman"/>
          <w:kern w:val="36"/>
          <w:sz w:val="28"/>
          <w:szCs w:val="28"/>
          <w:shd w:val="clear" w:color="auto" w:fill="FFFFFF"/>
          <w:lang w:eastAsia="uk-UA"/>
        </w:rPr>
        <w:t>101</w:t>
      </w:r>
      <w:r w:rsidR="002A2FC3" w:rsidRPr="00A33B98">
        <w:rPr>
          <w:rFonts w:ascii="Times New Roman" w:eastAsia="Times New Roman" w:hAnsi="Times New Roman" w:cs="Times New Roman"/>
          <w:kern w:val="36"/>
          <w:sz w:val="28"/>
          <w:szCs w:val="28"/>
          <w:shd w:val="clear" w:color="auto" w:fill="FFFFFF"/>
          <w:lang w:eastAsia="uk-UA"/>
        </w:rPr>
        <w:t>6</w:t>
      </w:r>
      <w:r w:rsidRPr="00A33B98">
        <w:rPr>
          <w:rFonts w:ascii="Times New Roman" w:eastAsia="Times New Roman" w:hAnsi="Times New Roman" w:cs="Times New Roman"/>
          <w:kern w:val="36"/>
          <w:sz w:val="28"/>
          <w:szCs w:val="28"/>
          <w:shd w:val="clear" w:color="auto" w:fill="FFFFFF"/>
          <w:lang w:eastAsia="uk-UA"/>
        </w:rPr>
        <w:t>«Про</w:t>
      </w:r>
      <w:r w:rsidR="002A2FC3" w:rsidRPr="00A33B98">
        <w:rPr>
          <w:rFonts w:ascii="Times New Roman" w:eastAsia="Times New Roman" w:hAnsi="Times New Roman" w:cs="Times New Roman"/>
          <w:kern w:val="36"/>
          <w:sz w:val="28"/>
          <w:szCs w:val="28"/>
          <w:shd w:val="clear" w:color="auto" w:fill="FFFFFF"/>
          <w:lang w:eastAsia="uk-UA"/>
        </w:rPr>
        <w:t xml:space="preserve"> встановлення </w:t>
      </w:r>
      <w:r w:rsidRPr="00A33B98">
        <w:rPr>
          <w:rFonts w:ascii="Times New Roman" w:eastAsia="Times New Roman" w:hAnsi="Times New Roman" w:cs="Times New Roman"/>
          <w:kern w:val="36"/>
          <w:sz w:val="28"/>
          <w:szCs w:val="28"/>
          <w:shd w:val="clear" w:color="auto" w:fill="FFFFFF"/>
          <w:lang w:eastAsia="uk-UA"/>
        </w:rPr>
        <w:t xml:space="preserve"> </w:t>
      </w:r>
      <w:r w:rsidR="00192452" w:rsidRPr="00A33B98">
        <w:rPr>
          <w:rFonts w:ascii="Times New Roman" w:eastAsia="Times New Roman" w:hAnsi="Times New Roman" w:cs="Times New Roman"/>
          <w:kern w:val="36"/>
          <w:sz w:val="28"/>
          <w:szCs w:val="28"/>
          <w:shd w:val="clear" w:color="auto" w:fill="FFFFFF"/>
          <w:lang w:eastAsia="uk-UA"/>
        </w:rPr>
        <w:t xml:space="preserve">пільг зі сплати податку на </w:t>
      </w:r>
      <w:r w:rsidRPr="00A33B98">
        <w:rPr>
          <w:rFonts w:ascii="Times New Roman" w:eastAsia="Times New Roman" w:hAnsi="Times New Roman" w:cs="Times New Roman"/>
          <w:kern w:val="36"/>
          <w:sz w:val="28"/>
          <w:szCs w:val="28"/>
          <w:shd w:val="clear" w:color="auto" w:fill="FFFFFF"/>
          <w:lang w:eastAsia="uk-UA"/>
        </w:rPr>
        <w:t xml:space="preserve"> нерухоме майно, відмінне від земе</w:t>
      </w:r>
      <w:r w:rsidR="00192452" w:rsidRPr="00A33B98">
        <w:rPr>
          <w:rFonts w:ascii="Times New Roman" w:eastAsia="Times New Roman" w:hAnsi="Times New Roman" w:cs="Times New Roman"/>
          <w:kern w:val="36"/>
          <w:sz w:val="28"/>
          <w:szCs w:val="28"/>
          <w:shd w:val="clear" w:color="auto" w:fill="FFFFFF"/>
          <w:lang w:eastAsia="uk-UA"/>
        </w:rPr>
        <w:t>льної ділянки на 2022 рік» та №1017</w:t>
      </w:r>
      <w:r w:rsidRPr="00A33B98">
        <w:rPr>
          <w:rFonts w:ascii="Times New Roman" w:eastAsia="Times New Roman" w:hAnsi="Times New Roman" w:cs="Times New Roman"/>
          <w:kern w:val="36"/>
          <w:sz w:val="28"/>
          <w:szCs w:val="28"/>
          <w:shd w:val="clear" w:color="auto" w:fill="FFFFFF"/>
          <w:lang w:eastAsia="uk-UA"/>
        </w:rPr>
        <w:t xml:space="preserve"> «Про встановлення </w:t>
      </w:r>
      <w:r w:rsidR="00192452" w:rsidRPr="00A33B98">
        <w:rPr>
          <w:rFonts w:ascii="Times New Roman" w:eastAsia="Times New Roman" w:hAnsi="Times New Roman" w:cs="Times New Roman"/>
          <w:kern w:val="36"/>
          <w:sz w:val="28"/>
          <w:szCs w:val="28"/>
          <w:shd w:val="clear" w:color="auto" w:fill="FFFFFF"/>
          <w:lang w:eastAsia="uk-UA"/>
        </w:rPr>
        <w:t xml:space="preserve">ставок та пільг земельного податку на території Більшівцівської територіальної </w:t>
      </w:r>
      <w:proofErr w:type="spellStart"/>
      <w:r w:rsidR="00192452" w:rsidRPr="00A33B98">
        <w:rPr>
          <w:rFonts w:ascii="Times New Roman" w:eastAsia="Times New Roman" w:hAnsi="Times New Roman" w:cs="Times New Roman"/>
          <w:kern w:val="36"/>
          <w:sz w:val="28"/>
          <w:szCs w:val="28"/>
          <w:shd w:val="clear" w:color="auto" w:fill="FFFFFF"/>
          <w:lang w:eastAsia="uk-UA"/>
        </w:rPr>
        <w:t>громади</w:t>
      </w:r>
      <w:r w:rsidRPr="00A33B98">
        <w:rPr>
          <w:rFonts w:ascii="Times New Roman" w:eastAsia="Times New Roman" w:hAnsi="Times New Roman" w:cs="Times New Roman"/>
          <w:kern w:val="36"/>
          <w:sz w:val="28"/>
          <w:szCs w:val="28"/>
          <w:shd w:val="clear" w:color="auto" w:fill="FFFFFF"/>
          <w:lang w:eastAsia="uk-UA"/>
        </w:rPr>
        <w:t>к</w:t>
      </w:r>
      <w:proofErr w:type="spellEnd"/>
      <w:r w:rsidRPr="00A33B98">
        <w:rPr>
          <w:rFonts w:ascii="Times New Roman" w:eastAsia="Times New Roman" w:hAnsi="Times New Roman" w:cs="Times New Roman"/>
          <w:kern w:val="36"/>
          <w:sz w:val="28"/>
          <w:szCs w:val="28"/>
          <w:shd w:val="clear" w:color="auto" w:fill="FFFFFF"/>
          <w:lang w:eastAsia="uk-UA"/>
        </w:rPr>
        <w:t>»</w:t>
      </w:r>
      <w:r w:rsidR="00192452" w:rsidRPr="00A33B98">
        <w:rPr>
          <w:rFonts w:ascii="Times New Roman" w:eastAsia="Times New Roman" w:hAnsi="Times New Roman" w:cs="Times New Roman"/>
          <w:kern w:val="36"/>
          <w:sz w:val="28"/>
          <w:szCs w:val="28"/>
          <w:shd w:val="clear" w:color="auto" w:fill="FFFFFF"/>
          <w:lang w:eastAsia="uk-UA"/>
        </w:rPr>
        <w:t xml:space="preserve"> та № 1018»Про встановлення місцевих податків і зборів на території Більшівцівської селищної територіальної </w:t>
      </w:r>
      <w:proofErr w:type="spellStart"/>
      <w:r w:rsidR="00192452" w:rsidRPr="00A33B98">
        <w:rPr>
          <w:rFonts w:ascii="Times New Roman" w:eastAsia="Times New Roman" w:hAnsi="Times New Roman" w:cs="Times New Roman"/>
          <w:kern w:val="36"/>
          <w:sz w:val="28"/>
          <w:szCs w:val="28"/>
          <w:shd w:val="clear" w:color="auto" w:fill="FFFFFF"/>
          <w:lang w:eastAsia="uk-UA"/>
        </w:rPr>
        <w:t>ромади</w:t>
      </w:r>
      <w:proofErr w:type="spellEnd"/>
      <w:r w:rsidR="00192452" w:rsidRPr="00A33B98">
        <w:rPr>
          <w:rFonts w:ascii="Times New Roman" w:eastAsia="Times New Roman" w:hAnsi="Times New Roman" w:cs="Times New Roman"/>
          <w:kern w:val="36"/>
          <w:sz w:val="28"/>
          <w:szCs w:val="28"/>
          <w:shd w:val="clear" w:color="auto" w:fill="FFFFFF"/>
          <w:lang w:eastAsia="uk-UA"/>
        </w:rPr>
        <w:t>»</w:t>
      </w:r>
      <w:r w:rsidRPr="00A33B98">
        <w:rPr>
          <w:rFonts w:ascii="Times New Roman" w:eastAsia="Times New Roman" w:hAnsi="Times New Roman" w:cs="Times New Roman"/>
          <w:kern w:val="36"/>
          <w:sz w:val="28"/>
          <w:szCs w:val="28"/>
          <w:shd w:val="clear" w:color="auto" w:fill="FFFFFF"/>
          <w:lang w:eastAsia="uk-UA"/>
        </w:rPr>
        <w:t>;</w:t>
      </w:r>
    </w:p>
    <w:p w:rsidR="00902052" w:rsidRPr="00A33B9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A33B98">
        <w:rPr>
          <w:rFonts w:ascii="Times New Roman" w:eastAsia="Times New Roman" w:hAnsi="Times New Roman" w:cs="Times New Roman"/>
          <w:spacing w:val="7"/>
          <w:sz w:val="28"/>
          <w:szCs w:val="28"/>
          <w:shd w:val="clear" w:color="auto" w:fill="FFFFFF"/>
          <w:lang w:eastAsia="uk-UA"/>
        </w:rPr>
        <w:t xml:space="preserve">- зміни місцезнаходження суб’єктів </w:t>
      </w:r>
      <w:proofErr w:type="spellStart"/>
      <w:r w:rsidRPr="00A33B98">
        <w:rPr>
          <w:rFonts w:ascii="Times New Roman" w:eastAsia="Times New Roman" w:hAnsi="Times New Roman" w:cs="Times New Roman"/>
          <w:spacing w:val="7"/>
          <w:sz w:val="28"/>
          <w:szCs w:val="28"/>
          <w:shd w:val="clear" w:color="auto" w:fill="FFFFFF"/>
          <w:lang w:eastAsia="uk-UA"/>
        </w:rPr>
        <w:t>господарювання-</w:t>
      </w:r>
      <w:proofErr w:type="spellEnd"/>
      <w:r w:rsidRPr="00A33B98">
        <w:rPr>
          <w:rFonts w:ascii="Times New Roman" w:eastAsia="Times New Roman" w:hAnsi="Times New Roman" w:cs="Times New Roman"/>
          <w:spacing w:val="7"/>
          <w:sz w:val="28"/>
          <w:szCs w:val="28"/>
          <w:shd w:val="clear" w:color="auto" w:fill="FFFFFF"/>
          <w:lang w:eastAsia="uk-UA"/>
        </w:rPr>
        <w:t xml:space="preserve"> платників податків;</w:t>
      </w:r>
    </w:p>
    <w:p w:rsidR="00902052" w:rsidRPr="00A33B9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A33B98">
        <w:rPr>
          <w:rFonts w:ascii="Times New Roman" w:eastAsia="Times New Roman" w:hAnsi="Times New Roman" w:cs="Times New Roman"/>
          <w:spacing w:val="7"/>
          <w:sz w:val="28"/>
          <w:szCs w:val="28"/>
          <w:shd w:val="clear" w:color="auto" w:fill="FFFFFF"/>
          <w:lang w:eastAsia="uk-UA"/>
        </w:rPr>
        <w:t>- інформацію структурних підрозділів селищної ради.</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00414">
        <w:rPr>
          <w:rFonts w:ascii="Times New Roman" w:eastAsia="Times New Roman" w:hAnsi="Times New Roman" w:cs="Times New Roman"/>
          <w:color w:val="FF0000"/>
          <w:spacing w:val="7"/>
          <w:sz w:val="28"/>
          <w:szCs w:val="28"/>
          <w:shd w:val="clear" w:color="auto" w:fill="FFFFFF"/>
          <w:lang w:eastAsia="uk-UA"/>
        </w:rPr>
        <w:t> </w:t>
      </w:r>
      <w:r w:rsidRPr="00192452">
        <w:rPr>
          <w:rFonts w:ascii="Times New Roman" w:eastAsia="Times New Roman" w:hAnsi="Times New Roman" w:cs="Times New Roman"/>
          <w:spacing w:val="7"/>
          <w:sz w:val="28"/>
          <w:szCs w:val="28"/>
          <w:shd w:val="clear" w:color="auto" w:fill="FFFFFF"/>
          <w:lang w:eastAsia="uk-UA"/>
        </w:rPr>
        <w:t xml:space="preserve">Відповідно до статей 98-100 Бюджетного кодексу України система бюджетного вирівнювання передбачає горизонтальне вирівнювання податкоспроможності територій залежно від рівня надходжень податку на доходи фізичних осіб у розрахунку на одного жителя, шляхом передачі </w:t>
      </w:r>
      <w:proofErr w:type="spellStart"/>
      <w:r w:rsidRPr="00192452">
        <w:rPr>
          <w:rFonts w:ascii="Times New Roman" w:eastAsia="Times New Roman" w:hAnsi="Times New Roman" w:cs="Times New Roman"/>
          <w:spacing w:val="7"/>
          <w:sz w:val="28"/>
          <w:szCs w:val="28"/>
          <w:shd w:val="clear" w:color="auto" w:fill="FFFFFF"/>
          <w:lang w:eastAsia="uk-UA"/>
        </w:rPr>
        <w:t>трансфертів. </w:t>
      </w:r>
      <w:r w:rsidRPr="00192452">
        <w:rPr>
          <w:rFonts w:ascii="Times New Roman" w:eastAsia="Times New Roman" w:hAnsi="Times New Roman" w:cs="Times New Roman"/>
          <w:spacing w:val="7"/>
          <w:sz w:val="28"/>
          <w:szCs w:val="28"/>
          <w:u w:val="single"/>
          <w:shd w:val="clear" w:color="auto" w:fill="FFFFFF"/>
          <w:lang w:eastAsia="uk-UA"/>
        </w:rPr>
        <w:t>Спо</w:t>
      </w:r>
      <w:proofErr w:type="spellEnd"/>
      <w:r w:rsidRPr="00192452">
        <w:rPr>
          <w:rFonts w:ascii="Times New Roman" w:eastAsia="Times New Roman" w:hAnsi="Times New Roman" w:cs="Times New Roman"/>
          <w:spacing w:val="7"/>
          <w:sz w:val="28"/>
          <w:szCs w:val="28"/>
          <w:u w:val="single"/>
          <w:shd w:val="clear" w:color="auto" w:fill="FFFFFF"/>
          <w:lang w:eastAsia="uk-UA"/>
        </w:rPr>
        <w:t>діваний</w:t>
      </w:r>
      <w:r w:rsidRPr="00192452">
        <w:rPr>
          <w:rFonts w:ascii="Times New Roman" w:eastAsia="Times New Roman" w:hAnsi="Times New Roman" w:cs="Times New Roman"/>
          <w:spacing w:val="7"/>
          <w:sz w:val="28"/>
          <w:szCs w:val="28"/>
          <w:shd w:val="clear" w:color="auto" w:fill="FFFFFF"/>
          <w:lang w:eastAsia="uk-UA"/>
        </w:rPr>
        <w:t xml:space="preserve"> обсяг базової  дотації на період 2022-2024 років розраховано в сумі </w:t>
      </w:r>
      <w:r w:rsidR="00A33B98">
        <w:rPr>
          <w:rFonts w:ascii="Times New Roman" w:eastAsia="Times New Roman" w:hAnsi="Times New Roman" w:cs="Times New Roman"/>
          <w:spacing w:val="7"/>
          <w:sz w:val="28"/>
          <w:szCs w:val="28"/>
          <w:shd w:val="clear" w:color="auto" w:fill="FFFFFF"/>
          <w:lang w:eastAsia="uk-UA"/>
        </w:rPr>
        <w:t>46279,4</w:t>
      </w:r>
      <w:r w:rsidR="00192452" w:rsidRPr="00192452">
        <w:rPr>
          <w:rFonts w:ascii="Times New Roman" w:eastAsia="Times New Roman" w:hAnsi="Times New Roman" w:cs="Times New Roman"/>
          <w:spacing w:val="7"/>
          <w:sz w:val="28"/>
          <w:szCs w:val="28"/>
          <w:shd w:val="clear" w:color="auto" w:fill="FFFFFF"/>
          <w:lang w:eastAsia="uk-UA"/>
        </w:rPr>
        <w:t xml:space="preserve"> тис.</w:t>
      </w:r>
      <w:r w:rsidRPr="00192452">
        <w:rPr>
          <w:rFonts w:ascii="Times New Roman" w:eastAsia="Times New Roman" w:hAnsi="Times New Roman" w:cs="Times New Roman"/>
          <w:spacing w:val="7"/>
          <w:sz w:val="28"/>
          <w:szCs w:val="28"/>
          <w:shd w:val="clear" w:color="auto" w:fill="FFFFFF"/>
          <w:lang w:eastAsia="uk-UA"/>
        </w:rPr>
        <w:t xml:space="preserve"> грн.</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Основним джерелом формування дохідної частини бюджету громади, як і в 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Прогноз надходжень з податку на доходи фізичних осіб розраховано відповідно до єдиної ставки (18 %) оподаткування доходів фізичних осіб.</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Єдиний податок – це другий бюджетоутворюючий податок, який зараховується до місцевого бюджету у 100% розмірі.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Розрахунок прогнозної суми плати за землю на 2022-2024 роки проведено за підсумками фактичних надходжень за попередні роки. Збільшення надходжень податку на майно (плати за землю) зумовлено прогнозованим збільшенням площ, щодо яких проведена грошова оцінка земель, проведенням інвентаризації земельних ділянок, наданих у користування та оренду, проведенням індексації нормативної грошової оцінки землі та укладенням нових  угод на оренду землі  і переглядом розміру орендної плати.</w:t>
      </w:r>
    </w:p>
    <w:p w:rsidR="00902052" w:rsidRPr="00192452"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192452">
        <w:rPr>
          <w:rFonts w:ascii="Times New Roman" w:eastAsia="Times New Roman" w:hAnsi="Times New Roman" w:cs="Times New Roman"/>
          <w:spacing w:val="7"/>
          <w:sz w:val="28"/>
          <w:szCs w:val="28"/>
          <w:shd w:val="clear" w:color="auto" w:fill="FFFFFF"/>
          <w:lang w:eastAsia="uk-UA"/>
        </w:rPr>
        <w:t xml:space="preserve">Прогноз неподаткових надходжень (адміністративний збір, орендна плата, державне мито) розроблений на </w:t>
      </w:r>
      <w:proofErr w:type="spellStart"/>
      <w:r w:rsidRPr="00192452">
        <w:rPr>
          <w:rFonts w:ascii="Times New Roman" w:eastAsia="Times New Roman" w:hAnsi="Times New Roman" w:cs="Times New Roman"/>
          <w:spacing w:val="7"/>
          <w:sz w:val="28"/>
          <w:szCs w:val="28"/>
          <w:shd w:val="clear" w:color="auto" w:fill="FFFFFF"/>
          <w:lang w:eastAsia="uk-UA"/>
        </w:rPr>
        <w:t>піставі</w:t>
      </w:r>
      <w:proofErr w:type="spellEnd"/>
      <w:r w:rsidRPr="00192452">
        <w:rPr>
          <w:rFonts w:ascii="Times New Roman" w:eastAsia="Times New Roman" w:hAnsi="Times New Roman" w:cs="Times New Roman"/>
          <w:spacing w:val="7"/>
          <w:sz w:val="28"/>
          <w:szCs w:val="28"/>
          <w:shd w:val="clear" w:color="auto" w:fill="FFFFFF"/>
          <w:lang w:eastAsia="uk-UA"/>
        </w:rPr>
        <w:t xml:space="preserve"> динаміки надходжень за попередні роки, кількості укладених договорів оренди на приміщення, розрахунку плати за розміщення тимчасово вільних коштів.</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5351E8"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b/>
          <w:bCs/>
          <w:spacing w:val="7"/>
          <w:sz w:val="28"/>
          <w:szCs w:val="28"/>
          <w:shd w:val="clear" w:color="auto" w:fill="FFFFFF"/>
          <w:lang w:eastAsia="uk-UA"/>
        </w:rPr>
        <w:lastRenderedPageBreak/>
        <w:t xml:space="preserve">VІ </w:t>
      </w:r>
      <w:proofErr w:type="spellStart"/>
      <w:r w:rsidRPr="005351E8">
        <w:rPr>
          <w:rFonts w:ascii="Times New Roman" w:eastAsia="Times New Roman" w:hAnsi="Times New Roman" w:cs="Times New Roman"/>
          <w:b/>
          <w:bCs/>
          <w:spacing w:val="7"/>
          <w:sz w:val="28"/>
          <w:szCs w:val="28"/>
          <w:shd w:val="clear" w:color="auto" w:fill="FFFFFF"/>
          <w:lang w:eastAsia="uk-UA"/>
        </w:rPr>
        <w:t>.Показники</w:t>
      </w:r>
      <w:proofErr w:type="spellEnd"/>
      <w:r w:rsidRPr="005351E8">
        <w:rPr>
          <w:rFonts w:ascii="Times New Roman" w:eastAsia="Times New Roman" w:hAnsi="Times New Roman" w:cs="Times New Roman"/>
          <w:b/>
          <w:bCs/>
          <w:spacing w:val="7"/>
          <w:sz w:val="28"/>
          <w:szCs w:val="28"/>
          <w:shd w:val="clear" w:color="auto" w:fill="FFFFFF"/>
          <w:lang w:eastAsia="uk-UA"/>
        </w:rPr>
        <w:t xml:space="preserve"> видатків бюджету та надання кредитів з бюджету</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Фінансування видатків бюджету </w:t>
      </w:r>
      <w:r w:rsidR="005351E8" w:rsidRPr="005351E8">
        <w:rPr>
          <w:rFonts w:ascii="Times New Roman" w:eastAsia="Times New Roman" w:hAnsi="Times New Roman" w:cs="Times New Roman"/>
          <w:spacing w:val="7"/>
          <w:sz w:val="28"/>
          <w:szCs w:val="28"/>
          <w:shd w:val="clear" w:color="auto" w:fill="FFFFFF"/>
          <w:lang w:eastAsia="uk-UA"/>
        </w:rPr>
        <w:t xml:space="preserve">Більшівцівської </w:t>
      </w:r>
      <w:r w:rsidRPr="005351E8">
        <w:rPr>
          <w:rFonts w:ascii="Times New Roman" w:eastAsia="Times New Roman" w:hAnsi="Times New Roman" w:cs="Times New Roman"/>
          <w:spacing w:val="7"/>
          <w:sz w:val="28"/>
          <w:szCs w:val="28"/>
          <w:shd w:val="clear" w:color="auto" w:fill="FFFFFF"/>
          <w:lang w:eastAsia="uk-UA"/>
        </w:rPr>
        <w:t> територіальної громади, цільових програм на період до 2024 року здійснюватиметься в рамках жорсткої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 xml:space="preserve">Першочергово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некомерційними підприємствами охорони здоров’я. 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w:t>
      </w:r>
      <w:proofErr w:type="spellStart"/>
      <w:r w:rsidRPr="005351E8">
        <w:rPr>
          <w:rFonts w:ascii="Times New Roman" w:eastAsia="Times New Roman" w:hAnsi="Times New Roman" w:cs="Times New Roman"/>
          <w:spacing w:val="7"/>
          <w:sz w:val="28"/>
          <w:szCs w:val="28"/>
          <w:shd w:val="clear" w:color="auto" w:fill="FFFFFF"/>
          <w:lang w:eastAsia="uk-UA"/>
        </w:rPr>
        <w:t>малозахищених</w:t>
      </w:r>
      <w:proofErr w:type="spellEnd"/>
      <w:r w:rsidRPr="005351E8">
        <w:rPr>
          <w:rFonts w:ascii="Times New Roman" w:eastAsia="Times New Roman" w:hAnsi="Times New Roman" w:cs="Times New Roman"/>
          <w:spacing w:val="7"/>
          <w:sz w:val="28"/>
          <w:szCs w:val="28"/>
          <w:shd w:val="clear" w:color="auto" w:fill="FFFFFF"/>
          <w:lang w:eastAsia="uk-UA"/>
        </w:rPr>
        <w:t xml:space="preserve"> категорій громадян, підтримки в належному стані об’єктів </w:t>
      </w:r>
      <w:proofErr w:type="spellStart"/>
      <w:r w:rsidRPr="005351E8">
        <w:rPr>
          <w:rFonts w:ascii="Times New Roman" w:eastAsia="Times New Roman" w:hAnsi="Times New Roman" w:cs="Times New Roman"/>
          <w:spacing w:val="7"/>
          <w:sz w:val="28"/>
          <w:szCs w:val="28"/>
          <w:shd w:val="clear" w:color="auto" w:fill="FFFFFF"/>
          <w:lang w:eastAsia="uk-UA"/>
        </w:rPr>
        <w:t>житлово</w:t>
      </w:r>
      <w:proofErr w:type="spellEnd"/>
      <w:r w:rsidRPr="005351E8">
        <w:rPr>
          <w:rFonts w:ascii="Times New Roman" w:eastAsia="Times New Roman" w:hAnsi="Times New Roman" w:cs="Times New Roman"/>
          <w:spacing w:val="7"/>
          <w:sz w:val="28"/>
          <w:szCs w:val="28"/>
          <w:shd w:val="clear" w:color="auto" w:fill="FFFFFF"/>
          <w:lang w:eastAsia="uk-UA"/>
        </w:rPr>
        <w:t xml:space="preserve"> – комунального господарства,  впровадження заходів з енергозбереження (енергоефективності), виконання в межах фінансових можливостей  цільових (комплексних) програм.</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Пріоритетними завданнями розвитку галузей є:</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u w:val="single"/>
          <w:shd w:val="clear" w:color="auto" w:fill="FFFFFF"/>
          <w:lang w:eastAsia="uk-UA"/>
        </w:rPr>
        <w:t>1. Державне управління</w:t>
      </w:r>
      <w:r w:rsidRPr="005351E8">
        <w:rPr>
          <w:rFonts w:ascii="Times New Roman" w:eastAsia="Times New Roman" w:hAnsi="Times New Roman" w:cs="Times New Roman"/>
          <w:spacing w:val="7"/>
          <w:sz w:val="28"/>
          <w:szCs w:val="28"/>
          <w:shd w:val="clear" w:color="auto" w:fill="FFFFFF"/>
          <w:lang w:eastAsia="uk-UA"/>
        </w:rPr>
        <w:t> -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w:t>
      </w:r>
    </w:p>
    <w:p w:rsidR="00902052" w:rsidRPr="005351E8"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u w:val="single"/>
          <w:shd w:val="clear" w:color="auto" w:fill="FFFFFF"/>
          <w:lang w:eastAsia="uk-UA"/>
        </w:rPr>
        <w:t>2. Освіта.</w:t>
      </w:r>
      <w:r w:rsidRPr="005351E8">
        <w:rPr>
          <w:rFonts w:ascii="Times New Roman" w:eastAsia="Times New Roman" w:hAnsi="Times New Roman" w:cs="Times New Roman"/>
          <w:spacing w:val="7"/>
          <w:sz w:val="28"/>
          <w:szCs w:val="28"/>
          <w:shd w:val="clear" w:color="auto" w:fill="FFFFFF"/>
          <w:lang w:eastAsia="uk-UA"/>
        </w:rPr>
        <w:t xml:space="preserve"> Цілі державної політики у сфері освіти реалізуються головними розпорядниками бюджетних коштів  та у середньостроковій перспективі будуть направлені на  повноцінний розвиток кожної дитини, її успішну інтеграцію в українське суспільство та європейську інтеграцію; забезпечення діяльності  дошкільних навчальних закладів, створення умов для їх функціонування, зміцнення матеріально-технічної бази дошкільних навчальних закладів; урізноманітнення моделей організації дошкільної освіти, охоплення дітей обов’язковою дошкільною освітою; здійснення заходів для забезпечення якісної, сучасної, конкурентоспроможної та доступної освіти шляхом реалізації таких заходів:  забезпечення в рамках продовження реформи загальної середньої освіти «Нова українська школа» </w:t>
      </w:r>
      <w:r w:rsidRPr="005351E8">
        <w:rPr>
          <w:rFonts w:ascii="Times New Roman" w:eastAsia="Times New Roman" w:hAnsi="Times New Roman" w:cs="Times New Roman"/>
          <w:spacing w:val="7"/>
          <w:sz w:val="28"/>
          <w:szCs w:val="28"/>
          <w:shd w:val="clear" w:color="auto" w:fill="FFFFFF"/>
          <w:lang w:eastAsia="uk-UA"/>
        </w:rPr>
        <w:lastRenderedPageBreak/>
        <w:t>якісної та доступної освіти шляхом стимулювання вчителів до професійного розвитку, розбудови нового освітнього середовища; забезпечення закладів загальної середньої освіти сучасним навчальним обладнанням та оновлення матеріально-технічної бази; 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 врахування індивідуальних потреб і можливостей таких здобувачів освіти; забезпечення доступності мистецької і позашкільної освіти та інтегрування її в європейський простір.</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351E8">
        <w:rPr>
          <w:rFonts w:ascii="Times New Roman" w:eastAsia="Times New Roman" w:hAnsi="Times New Roman" w:cs="Times New Roman"/>
          <w:spacing w:val="7"/>
          <w:sz w:val="28"/>
          <w:szCs w:val="28"/>
          <w:shd w:val="clear" w:color="auto" w:fill="FFFFFF"/>
          <w:lang w:eastAsia="uk-UA"/>
        </w:rPr>
        <w:t xml:space="preserve"> В результаті проведеної роботи очікується  створення нового освітнього середовища, яке відповідає вимогам сьогодення; сприяння підвищенню мотивації учнів до навчання, а вчителів - до професійного розвитку;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 Реалізація освітніх послуг буде здійснюватися через існуючу мережу освітніх закладів, яка включає 1 </w:t>
      </w:r>
      <w:r w:rsidRPr="00511F0D">
        <w:rPr>
          <w:rFonts w:ascii="Times New Roman" w:eastAsia="Times New Roman" w:hAnsi="Times New Roman" w:cs="Times New Roman"/>
          <w:spacing w:val="7"/>
          <w:sz w:val="28"/>
          <w:szCs w:val="28"/>
          <w:shd w:val="clear" w:color="auto" w:fill="FFFFFF"/>
          <w:lang w:eastAsia="uk-UA"/>
        </w:rPr>
        <w:t xml:space="preserve">заклад дошкільної освіти,  2 </w:t>
      </w:r>
      <w:r w:rsidR="005351E8" w:rsidRPr="00511F0D">
        <w:rPr>
          <w:rFonts w:ascii="Times New Roman" w:eastAsia="Times New Roman" w:hAnsi="Times New Roman" w:cs="Times New Roman"/>
          <w:spacing w:val="7"/>
          <w:sz w:val="28"/>
          <w:szCs w:val="28"/>
          <w:shd w:val="clear" w:color="auto" w:fill="FFFFFF"/>
          <w:lang w:eastAsia="uk-UA"/>
        </w:rPr>
        <w:t>ліцеї</w:t>
      </w:r>
      <w:r w:rsidRPr="00511F0D">
        <w:rPr>
          <w:rFonts w:ascii="Times New Roman" w:eastAsia="Times New Roman" w:hAnsi="Times New Roman" w:cs="Times New Roman"/>
          <w:spacing w:val="7"/>
          <w:sz w:val="28"/>
          <w:szCs w:val="28"/>
          <w:shd w:val="clear" w:color="auto" w:fill="FFFFFF"/>
          <w:lang w:eastAsia="uk-UA"/>
        </w:rPr>
        <w:t xml:space="preserve">, </w:t>
      </w:r>
      <w:r w:rsidR="005351E8" w:rsidRPr="00511F0D">
        <w:rPr>
          <w:rFonts w:ascii="Times New Roman" w:eastAsia="Times New Roman" w:hAnsi="Times New Roman" w:cs="Times New Roman"/>
          <w:spacing w:val="7"/>
          <w:sz w:val="28"/>
          <w:szCs w:val="28"/>
          <w:shd w:val="clear" w:color="auto" w:fill="FFFFFF"/>
          <w:lang w:eastAsia="uk-UA"/>
        </w:rPr>
        <w:t>4</w:t>
      </w:r>
      <w:r w:rsidR="00511F0D" w:rsidRPr="00511F0D">
        <w:rPr>
          <w:rFonts w:ascii="Times New Roman" w:eastAsia="Times New Roman" w:hAnsi="Times New Roman" w:cs="Times New Roman"/>
          <w:spacing w:val="7"/>
          <w:sz w:val="28"/>
          <w:szCs w:val="28"/>
          <w:shd w:val="clear" w:color="auto" w:fill="FFFFFF"/>
          <w:lang w:eastAsia="uk-UA"/>
        </w:rPr>
        <w:t xml:space="preserve">гімназії </w:t>
      </w:r>
      <w:r w:rsidRPr="00511F0D">
        <w:rPr>
          <w:rFonts w:ascii="Times New Roman" w:eastAsia="Times New Roman" w:hAnsi="Times New Roman" w:cs="Times New Roman"/>
          <w:spacing w:val="7"/>
          <w:sz w:val="28"/>
          <w:szCs w:val="28"/>
          <w:shd w:val="clear" w:color="auto" w:fill="FFFFFF"/>
          <w:lang w:eastAsia="uk-UA"/>
        </w:rPr>
        <w:t xml:space="preserve">та </w:t>
      </w:r>
      <w:r w:rsidR="005351E8" w:rsidRPr="00511F0D">
        <w:rPr>
          <w:rFonts w:ascii="Times New Roman" w:eastAsia="Times New Roman" w:hAnsi="Times New Roman" w:cs="Times New Roman"/>
          <w:spacing w:val="7"/>
          <w:sz w:val="28"/>
          <w:szCs w:val="28"/>
          <w:shd w:val="clear" w:color="auto" w:fill="FFFFFF"/>
          <w:lang w:eastAsia="uk-UA"/>
        </w:rPr>
        <w:t>1</w:t>
      </w:r>
      <w:r w:rsidR="00511F0D" w:rsidRPr="00511F0D">
        <w:rPr>
          <w:rFonts w:ascii="Times New Roman" w:eastAsia="Times New Roman" w:hAnsi="Times New Roman" w:cs="Times New Roman"/>
          <w:spacing w:val="7"/>
          <w:sz w:val="28"/>
          <w:szCs w:val="28"/>
          <w:shd w:val="clear" w:color="auto" w:fill="FFFFFF"/>
          <w:lang w:eastAsia="uk-UA"/>
        </w:rPr>
        <w:t xml:space="preserve"> </w:t>
      </w:r>
      <w:r w:rsidRPr="00511F0D">
        <w:rPr>
          <w:rFonts w:ascii="Times New Roman" w:eastAsia="Times New Roman" w:hAnsi="Times New Roman" w:cs="Times New Roman"/>
          <w:spacing w:val="7"/>
          <w:sz w:val="28"/>
          <w:szCs w:val="28"/>
          <w:shd w:val="clear" w:color="auto" w:fill="FFFFFF"/>
          <w:lang w:eastAsia="uk-UA"/>
        </w:rPr>
        <w:t>школу мистецтв.</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3.Охорона здоров»я.</w:t>
      </w:r>
      <w:r w:rsidRPr="00511F0D">
        <w:rPr>
          <w:rFonts w:ascii="Times New Roman" w:eastAsia="Times New Roman" w:hAnsi="Times New Roman" w:cs="Times New Roman"/>
          <w:spacing w:val="7"/>
          <w:sz w:val="28"/>
          <w:szCs w:val="28"/>
          <w:shd w:val="clear" w:color="auto" w:fill="FFFFFF"/>
          <w:lang w:eastAsia="uk-UA"/>
        </w:rPr>
        <w:t xml:space="preserve"> Ця </w:t>
      </w:r>
      <w:r w:rsidR="00511F0D" w:rsidRPr="00511F0D">
        <w:rPr>
          <w:rFonts w:ascii="Times New Roman" w:eastAsia="Times New Roman" w:hAnsi="Times New Roman" w:cs="Times New Roman"/>
          <w:spacing w:val="7"/>
          <w:sz w:val="28"/>
          <w:szCs w:val="28"/>
          <w:shd w:val="clear" w:color="auto" w:fill="FFFFFF"/>
          <w:lang w:eastAsia="uk-UA"/>
        </w:rPr>
        <w:t xml:space="preserve">галузь нашій громаді </w:t>
      </w:r>
      <w:r w:rsidRPr="00511F0D">
        <w:rPr>
          <w:rFonts w:ascii="Times New Roman" w:eastAsia="Times New Roman" w:hAnsi="Times New Roman" w:cs="Times New Roman"/>
          <w:spacing w:val="7"/>
          <w:sz w:val="28"/>
          <w:szCs w:val="28"/>
          <w:shd w:val="clear" w:color="auto" w:fill="FFFFFF"/>
          <w:lang w:eastAsia="uk-UA"/>
        </w:rPr>
        <w:t xml:space="preserve"> представлена виконанням Програми фінансової підтримки комунального некомерційного підприємства «</w:t>
      </w:r>
      <w:r w:rsidR="005351E8" w:rsidRPr="00511F0D">
        <w:rPr>
          <w:rFonts w:ascii="Times New Roman" w:eastAsia="Times New Roman" w:hAnsi="Times New Roman" w:cs="Times New Roman"/>
          <w:spacing w:val="7"/>
          <w:sz w:val="28"/>
          <w:szCs w:val="28"/>
          <w:lang w:eastAsia="uk-UA"/>
        </w:rPr>
        <w:t>Центру ПМСД Більшівцівської селищної ради</w:t>
      </w:r>
      <w:r w:rsidR="005351E8" w:rsidRPr="00511F0D">
        <w:rPr>
          <w:rFonts w:ascii="Times New Roman" w:eastAsia="Times New Roman" w:hAnsi="Times New Roman" w:cs="Times New Roman"/>
          <w:spacing w:val="7"/>
          <w:sz w:val="28"/>
          <w:szCs w:val="28"/>
          <w:shd w:val="clear" w:color="auto" w:fill="FFFFFF"/>
          <w:lang w:eastAsia="uk-UA"/>
        </w:rPr>
        <w:t xml:space="preserve">», та Програми фінансової підтримки комунального некомерційного підприємства </w:t>
      </w:r>
      <w:proofErr w:type="spellStart"/>
      <w:r w:rsidR="005351E8" w:rsidRPr="00511F0D">
        <w:rPr>
          <w:rFonts w:ascii="Times New Roman" w:eastAsia="Times New Roman" w:hAnsi="Times New Roman" w:cs="Times New Roman"/>
          <w:spacing w:val="7"/>
          <w:sz w:val="28"/>
          <w:szCs w:val="28"/>
          <w:lang w:eastAsia="uk-UA"/>
        </w:rPr>
        <w:t>Більшівцівська</w:t>
      </w:r>
      <w:proofErr w:type="spellEnd"/>
      <w:r w:rsidR="005351E8" w:rsidRPr="00511F0D">
        <w:rPr>
          <w:rFonts w:ascii="Times New Roman" w:eastAsia="Times New Roman" w:hAnsi="Times New Roman" w:cs="Times New Roman"/>
          <w:spacing w:val="7"/>
          <w:sz w:val="28"/>
          <w:szCs w:val="28"/>
          <w:lang w:eastAsia="uk-UA"/>
        </w:rPr>
        <w:t xml:space="preserve"> міська лікарня Більшівцівської селищної </w:t>
      </w:r>
      <w:proofErr w:type="spellStart"/>
      <w:r w:rsidR="005351E8" w:rsidRPr="00511F0D">
        <w:rPr>
          <w:rFonts w:ascii="Times New Roman" w:eastAsia="Times New Roman" w:hAnsi="Times New Roman" w:cs="Times New Roman"/>
          <w:spacing w:val="7"/>
          <w:sz w:val="28"/>
          <w:szCs w:val="28"/>
          <w:lang w:eastAsia="uk-UA"/>
        </w:rPr>
        <w:t>ради»</w:t>
      </w:r>
      <w:r w:rsidR="00511F0D" w:rsidRPr="00511F0D">
        <w:rPr>
          <w:rFonts w:ascii="Times New Roman" w:eastAsia="Times New Roman" w:hAnsi="Times New Roman" w:cs="Times New Roman"/>
          <w:spacing w:val="7"/>
          <w:sz w:val="28"/>
          <w:szCs w:val="28"/>
          <w:shd w:val="clear" w:color="auto" w:fill="FFFFFF"/>
          <w:lang w:eastAsia="uk-UA"/>
        </w:rPr>
        <w:t>.</w:t>
      </w:r>
      <w:r w:rsidRPr="00511F0D">
        <w:rPr>
          <w:rFonts w:ascii="Times New Roman" w:eastAsia="Times New Roman" w:hAnsi="Times New Roman" w:cs="Times New Roman"/>
          <w:spacing w:val="7"/>
          <w:sz w:val="28"/>
          <w:szCs w:val="28"/>
          <w:shd w:val="clear" w:color="auto" w:fill="FFFFFF"/>
          <w:lang w:eastAsia="uk-UA"/>
        </w:rPr>
        <w:t>Пріорітетним</w:t>
      </w:r>
      <w:proofErr w:type="spellEnd"/>
      <w:r w:rsidRPr="00511F0D">
        <w:rPr>
          <w:rFonts w:ascii="Times New Roman" w:eastAsia="Times New Roman" w:hAnsi="Times New Roman" w:cs="Times New Roman"/>
          <w:spacing w:val="7"/>
          <w:sz w:val="28"/>
          <w:szCs w:val="28"/>
          <w:shd w:val="clear" w:color="auto" w:fill="FFFFFF"/>
          <w:lang w:eastAsia="uk-UA"/>
        </w:rPr>
        <w:t xml:space="preserve"> напрямком галузі є реалізація права громадян на якісну та доступну медико-санітарну допомогу;  забезпечення населення комплексними послугами із всебічної і безперервної первинної</w:t>
      </w:r>
      <w:r w:rsidR="005351E8" w:rsidRPr="00511F0D">
        <w:rPr>
          <w:rFonts w:ascii="Times New Roman" w:eastAsia="Times New Roman" w:hAnsi="Times New Roman" w:cs="Times New Roman"/>
          <w:spacing w:val="7"/>
          <w:sz w:val="28"/>
          <w:szCs w:val="28"/>
          <w:shd w:val="clear" w:color="auto" w:fill="FFFFFF"/>
          <w:lang w:eastAsia="uk-UA"/>
        </w:rPr>
        <w:t xml:space="preserve"> та вторинної</w:t>
      </w:r>
      <w:r w:rsidRPr="00511F0D">
        <w:rPr>
          <w:rFonts w:ascii="Times New Roman" w:eastAsia="Times New Roman" w:hAnsi="Times New Roman" w:cs="Times New Roman"/>
          <w:spacing w:val="7"/>
          <w:sz w:val="28"/>
          <w:szCs w:val="28"/>
          <w:shd w:val="clear" w:color="auto" w:fill="FFFFFF"/>
          <w:lang w:eastAsia="uk-UA"/>
        </w:rPr>
        <w:t xml:space="preserve"> медичної допомоги </w:t>
      </w:r>
      <w:r w:rsidR="005351E8" w:rsidRPr="00511F0D">
        <w:rPr>
          <w:rFonts w:ascii="Times New Roman" w:eastAsia="Times New Roman" w:hAnsi="Times New Roman" w:cs="Times New Roman"/>
          <w:spacing w:val="7"/>
          <w:sz w:val="28"/>
          <w:szCs w:val="28"/>
          <w:shd w:val="clear" w:color="auto" w:fill="FFFFFF"/>
          <w:lang w:eastAsia="uk-UA"/>
        </w:rPr>
        <w:t xml:space="preserve"> </w:t>
      </w:r>
      <w:r w:rsidRPr="00511F0D">
        <w:rPr>
          <w:rFonts w:ascii="Times New Roman" w:eastAsia="Times New Roman" w:hAnsi="Times New Roman" w:cs="Times New Roman"/>
          <w:spacing w:val="7"/>
          <w:sz w:val="28"/>
          <w:szCs w:val="28"/>
          <w:shd w:val="clear" w:color="auto" w:fill="FFFFFF"/>
          <w:lang w:eastAsia="uk-UA"/>
        </w:rPr>
        <w:t>; попередження розвитку захворювань та зниження захворюваності, інвалідності та смертності населення.</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shd w:val="clear" w:color="auto" w:fill="FFFFFF"/>
          <w:lang w:eastAsia="uk-UA"/>
        </w:rPr>
        <w:t xml:space="preserve">Очікувані результати – підвищення якості та ефективності надання первинної </w:t>
      </w:r>
      <w:r w:rsidR="005351E8" w:rsidRPr="00511F0D">
        <w:rPr>
          <w:rFonts w:ascii="Times New Roman" w:eastAsia="Times New Roman" w:hAnsi="Times New Roman" w:cs="Times New Roman"/>
          <w:spacing w:val="7"/>
          <w:sz w:val="28"/>
          <w:szCs w:val="28"/>
          <w:shd w:val="clear" w:color="auto" w:fill="FFFFFF"/>
          <w:lang w:eastAsia="uk-UA"/>
        </w:rPr>
        <w:t xml:space="preserve"> та вторинної </w:t>
      </w:r>
      <w:r w:rsidRPr="00511F0D">
        <w:rPr>
          <w:rFonts w:ascii="Times New Roman" w:eastAsia="Times New Roman" w:hAnsi="Times New Roman" w:cs="Times New Roman"/>
          <w:spacing w:val="7"/>
          <w:sz w:val="28"/>
          <w:szCs w:val="28"/>
          <w:shd w:val="clear" w:color="auto" w:fill="FFFFFF"/>
          <w:lang w:eastAsia="uk-UA"/>
        </w:rPr>
        <w:t>медико-санітарної допомоги та амбулаторного лікування, невідкладної медичної допомоги, оптимальної амбулаторної паліативної допомоги; своєчасна вакцинація проти інфекцій, керованих специфічними засобами імунопрофілактики; забезпечення для поставлених цілей медичним обладнанням, інструментами.</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4. Соціальний захист та соціальне забезпечення</w:t>
      </w:r>
      <w:r w:rsidRPr="00511F0D">
        <w:rPr>
          <w:rFonts w:ascii="Times New Roman" w:eastAsia="Times New Roman" w:hAnsi="Times New Roman" w:cs="Times New Roman"/>
          <w:spacing w:val="7"/>
          <w:sz w:val="28"/>
          <w:szCs w:val="28"/>
          <w:shd w:val="clear" w:color="auto" w:fill="FFFFFF"/>
          <w:lang w:eastAsia="uk-UA"/>
        </w:rPr>
        <w:t> . Основними цілями реалізації державної політики у цій сфері на 2022-2024 роки є посилення адресної соціальної підтримки для підвищення ефективності використання бюджетних коштів та їх спрямування соціально вразливим верствам населення. Завданнями на 2022-2024 роки є: забезпечення максимальної адресності та наближеності надання відповідної соціальної підтримки тим, хто її потребує; прозорість та доступність в отриманні соціальної підтримки; забезпечення захисту прав дитини, 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511F0D">
        <w:rPr>
          <w:rFonts w:ascii="Times New Roman" w:eastAsia="Times New Roman" w:hAnsi="Times New Roman" w:cs="Times New Roman"/>
          <w:spacing w:val="7"/>
          <w:sz w:val="28"/>
          <w:szCs w:val="28"/>
          <w:shd w:val="clear" w:color="auto" w:fill="FFFFFF"/>
          <w:lang w:eastAsia="uk-UA"/>
        </w:rPr>
        <w:lastRenderedPageBreak/>
        <w:t xml:space="preserve">Очікувані результати -  адаптація системи надання соціальних послуг до нових вимог законодавства, спрощення порядку надання соціальних послуг через впровадження нових, сучасних комп’ютерних та </w:t>
      </w:r>
      <w:proofErr w:type="spellStart"/>
      <w:r w:rsidRPr="00511F0D">
        <w:rPr>
          <w:rFonts w:ascii="Times New Roman" w:eastAsia="Times New Roman" w:hAnsi="Times New Roman" w:cs="Times New Roman"/>
          <w:spacing w:val="7"/>
          <w:sz w:val="28"/>
          <w:szCs w:val="28"/>
          <w:shd w:val="clear" w:color="auto" w:fill="FFFFFF"/>
          <w:lang w:eastAsia="uk-UA"/>
        </w:rPr>
        <w:t>Інтернет-технологій</w:t>
      </w:r>
      <w:proofErr w:type="spellEnd"/>
      <w:r w:rsidRPr="00511F0D">
        <w:rPr>
          <w:rFonts w:ascii="Times New Roman" w:eastAsia="Times New Roman" w:hAnsi="Times New Roman" w:cs="Times New Roman"/>
          <w:spacing w:val="7"/>
          <w:sz w:val="28"/>
          <w:szCs w:val="28"/>
          <w:shd w:val="clear" w:color="auto" w:fill="FFFFFF"/>
          <w:lang w:eastAsia="uk-UA"/>
        </w:rPr>
        <w:t>; охоплення соціальним захистом максимальної кількості сімей та малозабезпечених громадян, які потребують підтримки місцевої влади</w:t>
      </w:r>
      <w:r w:rsidRPr="00100414">
        <w:rPr>
          <w:rFonts w:ascii="Times New Roman" w:eastAsia="Times New Roman" w:hAnsi="Times New Roman" w:cs="Times New Roman"/>
          <w:color w:val="FF0000"/>
          <w:spacing w:val="7"/>
          <w:sz w:val="28"/>
          <w:szCs w:val="28"/>
          <w:shd w:val="clear" w:color="auto" w:fill="FFFFFF"/>
          <w:lang w:eastAsia="uk-UA"/>
        </w:rPr>
        <w:t>.</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5. Культура і мистецтво</w:t>
      </w:r>
      <w:r w:rsidRPr="00511F0D">
        <w:rPr>
          <w:rFonts w:ascii="Times New Roman" w:eastAsia="Times New Roman" w:hAnsi="Times New Roman" w:cs="Times New Roman"/>
          <w:spacing w:val="7"/>
          <w:sz w:val="28"/>
          <w:szCs w:val="28"/>
          <w:shd w:val="clear" w:color="auto" w:fill="FFFFFF"/>
          <w:lang w:eastAsia="uk-UA"/>
        </w:rPr>
        <w:t xml:space="preserve"> . Основними завданнями цієї галузі є популяризація народної творчості, її осучаснення;  проведення культурно-мистецьких заходів, спрямованих на  відродження історичної </w:t>
      </w:r>
      <w:proofErr w:type="spellStart"/>
      <w:r w:rsidRPr="00511F0D">
        <w:rPr>
          <w:rFonts w:ascii="Times New Roman" w:eastAsia="Times New Roman" w:hAnsi="Times New Roman" w:cs="Times New Roman"/>
          <w:spacing w:val="7"/>
          <w:sz w:val="28"/>
          <w:szCs w:val="28"/>
          <w:shd w:val="clear" w:color="auto" w:fill="FFFFFF"/>
          <w:lang w:eastAsia="uk-UA"/>
        </w:rPr>
        <w:t>пам»яті</w:t>
      </w:r>
      <w:proofErr w:type="spellEnd"/>
      <w:r w:rsidRPr="00511F0D">
        <w:rPr>
          <w:rFonts w:ascii="Times New Roman" w:eastAsia="Times New Roman" w:hAnsi="Times New Roman" w:cs="Times New Roman"/>
          <w:spacing w:val="7"/>
          <w:sz w:val="28"/>
          <w:szCs w:val="28"/>
          <w:shd w:val="clear" w:color="auto" w:fill="FFFFFF"/>
          <w:lang w:eastAsia="uk-UA"/>
        </w:rPr>
        <w:t xml:space="preserve"> та естетичне виховання молоді; розкриття творчого потенціалу різновікових груп населення територіальної громади.</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6. Фізична культура і спорт</w:t>
      </w:r>
      <w:r w:rsidRPr="00511F0D">
        <w:rPr>
          <w:rFonts w:ascii="Times New Roman" w:eastAsia="Times New Roman" w:hAnsi="Times New Roman" w:cs="Times New Roman"/>
          <w:spacing w:val="7"/>
          <w:sz w:val="28"/>
          <w:szCs w:val="28"/>
          <w:shd w:val="clear" w:color="auto" w:fill="FFFFFF"/>
          <w:lang w:eastAsia="uk-UA"/>
        </w:rPr>
        <w:t xml:space="preserve">  - забезпечення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забезпечення розвитку олімпійських та </w:t>
      </w:r>
      <w:proofErr w:type="spellStart"/>
      <w:r w:rsidRPr="00511F0D">
        <w:rPr>
          <w:rFonts w:ascii="Times New Roman" w:eastAsia="Times New Roman" w:hAnsi="Times New Roman" w:cs="Times New Roman"/>
          <w:spacing w:val="7"/>
          <w:sz w:val="28"/>
          <w:szCs w:val="28"/>
          <w:shd w:val="clear" w:color="auto" w:fill="FFFFFF"/>
          <w:lang w:eastAsia="uk-UA"/>
        </w:rPr>
        <w:t>неолімпійських</w:t>
      </w:r>
      <w:proofErr w:type="spellEnd"/>
      <w:r w:rsidRPr="00511F0D">
        <w:rPr>
          <w:rFonts w:ascii="Times New Roman" w:eastAsia="Times New Roman" w:hAnsi="Times New Roman" w:cs="Times New Roman"/>
          <w:spacing w:val="7"/>
          <w:sz w:val="28"/>
          <w:szCs w:val="28"/>
          <w:shd w:val="clear" w:color="auto" w:fill="FFFFFF"/>
          <w:lang w:eastAsia="uk-UA"/>
        </w:rPr>
        <w:t xml:space="preserve"> видів спорту, організація фізкультурно-оздоровчої та спортивної діяльності інвалідів, підтримка спорту вищих досягнень.</w:t>
      </w:r>
    </w:p>
    <w:p w:rsidR="00902052" w:rsidRPr="00511F0D"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511F0D">
        <w:rPr>
          <w:rFonts w:ascii="Times New Roman" w:eastAsia="Times New Roman" w:hAnsi="Times New Roman" w:cs="Times New Roman"/>
          <w:spacing w:val="7"/>
          <w:sz w:val="28"/>
          <w:szCs w:val="28"/>
          <w:u w:val="single"/>
          <w:shd w:val="clear" w:color="auto" w:fill="FFFFFF"/>
          <w:lang w:eastAsia="uk-UA"/>
        </w:rPr>
        <w:t>7. Житлово-комунальне господарство</w:t>
      </w:r>
      <w:r w:rsidRPr="00511F0D">
        <w:rPr>
          <w:rFonts w:ascii="Times New Roman" w:eastAsia="Times New Roman" w:hAnsi="Times New Roman" w:cs="Times New Roman"/>
          <w:spacing w:val="7"/>
          <w:sz w:val="28"/>
          <w:szCs w:val="28"/>
          <w:shd w:val="clear" w:color="auto" w:fill="FFFFFF"/>
          <w:lang w:eastAsia="uk-UA"/>
        </w:rPr>
        <w:t> . Пріоритетними напрямками розвитку житлово-комунального господарства є задоволення потреб мешканців в усіх видах житлово-комунальних послуг, створення комфортних умов для проживання і належне утримання об’єктів комунальної власності.  Серед основних цілей реалізації державної політики у цій сфері є: забезпечення утримання в належному стані доріг населених пунктів територіальної громади; утримання в належному екологічному та санітарному стані території громади;  збереження та утримання на належному рівні зелених зон , кладовищ,  зон відпочинку,  забезпечення функціонування системи вуличного освітлення.</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DF4B99" w:rsidRDefault="00902052" w:rsidP="00902052">
      <w:pPr>
        <w:shd w:val="clear" w:color="auto" w:fill="FFFFFF"/>
        <w:spacing w:after="160" w:line="240" w:lineRule="auto"/>
        <w:jc w:val="center"/>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b/>
          <w:bCs/>
          <w:spacing w:val="7"/>
          <w:sz w:val="28"/>
          <w:szCs w:val="28"/>
          <w:lang w:val="en-US" w:eastAsia="uk-UA"/>
        </w:rPr>
        <w:t>VII</w:t>
      </w:r>
      <w:r w:rsidRPr="00DF4B99">
        <w:rPr>
          <w:rFonts w:ascii="Times New Roman" w:eastAsia="Times New Roman" w:hAnsi="Times New Roman" w:cs="Times New Roman"/>
          <w:b/>
          <w:bCs/>
          <w:spacing w:val="7"/>
          <w:sz w:val="28"/>
          <w:szCs w:val="28"/>
          <w:lang w:eastAsia="uk-UA"/>
        </w:rPr>
        <w:t>.</w:t>
      </w:r>
      <w:proofErr w:type="gramStart"/>
      <w:r w:rsidRPr="00DF4B99">
        <w:rPr>
          <w:rFonts w:ascii="Times New Roman" w:eastAsia="Times New Roman" w:hAnsi="Times New Roman" w:cs="Times New Roman"/>
          <w:b/>
          <w:bCs/>
          <w:spacing w:val="7"/>
          <w:sz w:val="28"/>
          <w:szCs w:val="28"/>
          <w:lang w:eastAsia="uk-UA"/>
        </w:rPr>
        <w:t>  Взаємовідносини</w:t>
      </w:r>
      <w:proofErr w:type="gramEnd"/>
      <w:r w:rsidRPr="00DF4B99">
        <w:rPr>
          <w:rFonts w:ascii="Times New Roman" w:eastAsia="Times New Roman" w:hAnsi="Times New Roman" w:cs="Times New Roman"/>
          <w:b/>
          <w:bCs/>
          <w:spacing w:val="7"/>
          <w:sz w:val="28"/>
          <w:szCs w:val="28"/>
          <w:lang w:eastAsia="uk-UA"/>
        </w:rPr>
        <w:t xml:space="preserve"> бюджету з іншими місцевими бюджетами</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lang w:eastAsia="uk-UA"/>
        </w:rPr>
        <w:t>Основною метою побудови міжбюджетних відносин на середньостроковий період є забезпечення надання якісних послуг жителям громади та підвищення ефективності використання коштів селищного бюджету.</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xml:space="preserve">Відповідно до статті 93 Бюджетного кодексу  з місцевого бюджету територіальної громади передбачається </w:t>
      </w:r>
      <w:r w:rsidR="00DF4B99" w:rsidRPr="00DF4B99">
        <w:rPr>
          <w:rFonts w:ascii="Times New Roman" w:eastAsia="Times New Roman" w:hAnsi="Times New Roman" w:cs="Times New Roman"/>
          <w:spacing w:val="7"/>
          <w:sz w:val="28"/>
          <w:szCs w:val="28"/>
          <w:shd w:val="clear" w:color="auto" w:fill="FFFFFF"/>
          <w:lang w:eastAsia="uk-UA"/>
        </w:rPr>
        <w:t xml:space="preserve">кошти </w:t>
      </w:r>
      <w:r w:rsidRPr="00DF4B99">
        <w:rPr>
          <w:rFonts w:ascii="Times New Roman" w:eastAsia="Times New Roman" w:hAnsi="Times New Roman" w:cs="Times New Roman"/>
          <w:spacing w:val="7"/>
          <w:sz w:val="28"/>
          <w:szCs w:val="28"/>
          <w:shd w:val="clear" w:color="auto" w:fill="FFFFFF"/>
          <w:lang w:eastAsia="uk-UA"/>
        </w:rPr>
        <w:t xml:space="preserve"> на відшкодування витрат, </w:t>
      </w:r>
      <w:proofErr w:type="spellStart"/>
      <w:r w:rsidRPr="00DF4B99">
        <w:rPr>
          <w:rFonts w:ascii="Times New Roman" w:eastAsia="Times New Roman" w:hAnsi="Times New Roman" w:cs="Times New Roman"/>
          <w:spacing w:val="7"/>
          <w:sz w:val="28"/>
          <w:szCs w:val="28"/>
          <w:shd w:val="clear" w:color="auto" w:fill="FFFFFF"/>
          <w:lang w:eastAsia="uk-UA"/>
        </w:rPr>
        <w:t>пов»язаних</w:t>
      </w:r>
      <w:proofErr w:type="spellEnd"/>
      <w:r w:rsidRPr="00DF4B99">
        <w:rPr>
          <w:rFonts w:ascii="Times New Roman" w:eastAsia="Times New Roman" w:hAnsi="Times New Roman" w:cs="Times New Roman"/>
          <w:spacing w:val="7"/>
          <w:sz w:val="28"/>
          <w:szCs w:val="28"/>
          <w:shd w:val="clear" w:color="auto" w:fill="FFFFFF"/>
          <w:lang w:eastAsia="uk-UA"/>
        </w:rPr>
        <w:t xml:space="preserve"> із забезпеченням медичними препаратами пільгових категорій населення, які проживають на території </w:t>
      </w:r>
      <w:r w:rsidR="00DF4B99" w:rsidRPr="00DF4B99">
        <w:rPr>
          <w:rFonts w:ascii="Times New Roman" w:eastAsia="Times New Roman" w:hAnsi="Times New Roman" w:cs="Times New Roman"/>
          <w:spacing w:val="7"/>
          <w:sz w:val="28"/>
          <w:szCs w:val="28"/>
          <w:shd w:val="clear" w:color="auto" w:fill="FFFFFF"/>
          <w:lang w:eastAsia="uk-UA"/>
        </w:rPr>
        <w:t xml:space="preserve">Більшівцівської </w:t>
      </w:r>
      <w:r w:rsidRPr="00DF4B99">
        <w:rPr>
          <w:rFonts w:ascii="Times New Roman" w:eastAsia="Times New Roman" w:hAnsi="Times New Roman" w:cs="Times New Roman"/>
          <w:spacing w:val="7"/>
          <w:sz w:val="28"/>
          <w:szCs w:val="28"/>
          <w:shd w:val="clear" w:color="auto" w:fill="FFFFFF"/>
          <w:lang w:eastAsia="uk-UA"/>
        </w:rPr>
        <w:t>територіальної громади.</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xml:space="preserve">В прогнозі бюджету </w:t>
      </w:r>
      <w:r w:rsidR="00DF4B99" w:rsidRPr="00DF4B99">
        <w:rPr>
          <w:rFonts w:ascii="Times New Roman" w:eastAsia="Times New Roman" w:hAnsi="Times New Roman" w:cs="Times New Roman"/>
          <w:spacing w:val="7"/>
          <w:sz w:val="28"/>
          <w:szCs w:val="28"/>
          <w:shd w:val="clear" w:color="auto" w:fill="FFFFFF"/>
          <w:lang w:eastAsia="uk-UA"/>
        </w:rPr>
        <w:t xml:space="preserve">Більшівцівської </w:t>
      </w:r>
      <w:r w:rsidRPr="00DF4B99">
        <w:rPr>
          <w:rFonts w:ascii="Times New Roman" w:eastAsia="Times New Roman" w:hAnsi="Times New Roman" w:cs="Times New Roman"/>
          <w:spacing w:val="7"/>
          <w:sz w:val="28"/>
          <w:szCs w:val="28"/>
          <w:shd w:val="clear" w:color="auto" w:fill="FFFFFF"/>
          <w:lang w:eastAsia="uk-UA"/>
        </w:rPr>
        <w:t xml:space="preserve"> територіальної громади на 2022-2024 роки наявні наступні додатки:</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 «Загальні показники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2 «Показники доходів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3 «Показники фінансування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lastRenderedPageBreak/>
        <w:t>додаток 6 «Граничні показники видатків бюджету та надання кредитів з бюджету головним розпорядникам коштів»;</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7 «Граничні показники видатків бюджету за Типовою програмною класифікацією видатків та кредитування місцевого бюджету»;</w:t>
      </w:r>
    </w:p>
    <w:p w:rsidR="00902052" w:rsidRPr="00DF4B99" w:rsidRDefault="00902052" w:rsidP="00902052">
      <w:pPr>
        <w:numPr>
          <w:ilvl w:val="0"/>
          <w:numId w:val="3"/>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11 «Показники міжбюджетних трансфертів з інших бюджетів»;</w:t>
      </w:r>
    </w:p>
    <w:p w:rsidR="00902052" w:rsidRPr="00DF4B99" w:rsidRDefault="00902052" w:rsidP="00902052">
      <w:pPr>
        <w:numPr>
          <w:ilvl w:val="0"/>
          <w:numId w:val="3"/>
        </w:numPr>
        <w:shd w:val="clear" w:color="auto" w:fill="FFFFFF"/>
        <w:spacing w:after="16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12 «Показники міжбюджетних трансфертів іншим бюджетам».</w:t>
      </w:r>
    </w:p>
    <w:p w:rsidR="00902052" w:rsidRPr="00DF4B99" w:rsidRDefault="00902052" w:rsidP="00902052">
      <w:pPr>
        <w:shd w:val="clear" w:color="auto" w:fill="FFFFFF"/>
        <w:spacing w:after="160" w:line="240" w:lineRule="auto"/>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xml:space="preserve">Не подаються у </w:t>
      </w:r>
      <w:proofErr w:type="spellStart"/>
      <w:r w:rsidRPr="00DF4B99">
        <w:rPr>
          <w:rFonts w:ascii="Times New Roman" w:eastAsia="Times New Roman" w:hAnsi="Times New Roman" w:cs="Times New Roman"/>
          <w:spacing w:val="7"/>
          <w:sz w:val="28"/>
          <w:szCs w:val="28"/>
          <w:shd w:val="clear" w:color="auto" w:fill="FFFFFF"/>
          <w:lang w:eastAsia="uk-UA"/>
        </w:rPr>
        <w:t>зв»язку</w:t>
      </w:r>
      <w:proofErr w:type="spellEnd"/>
      <w:r w:rsidRPr="00DF4B99">
        <w:rPr>
          <w:rFonts w:ascii="Times New Roman" w:eastAsia="Times New Roman" w:hAnsi="Times New Roman" w:cs="Times New Roman"/>
          <w:spacing w:val="7"/>
          <w:sz w:val="28"/>
          <w:szCs w:val="28"/>
          <w:shd w:val="clear" w:color="auto" w:fill="FFFFFF"/>
          <w:lang w:eastAsia="uk-UA"/>
        </w:rPr>
        <w:t xml:space="preserve"> з відсутністю показників:</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4 «Показники місцевого боргу»;</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 додаток 5 «Показники гарантованого Автономною Республікою Крим, обласною радою чи територіальною громадою міста боргу і надання місцевих гарантій»;</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8 «Граничні показники кредитування бюджету за Типовою програмною класифікацією видатків та кредитування місцевого бюджету»;</w:t>
      </w:r>
    </w:p>
    <w:p w:rsidR="00902052" w:rsidRPr="00DF4B99" w:rsidRDefault="00902052" w:rsidP="00902052">
      <w:pPr>
        <w:numPr>
          <w:ilvl w:val="0"/>
          <w:numId w:val="4"/>
        </w:numPr>
        <w:shd w:val="clear" w:color="auto" w:fill="FFFFFF"/>
        <w:spacing w:after="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9 «Показники бюджету розвитку»;</w:t>
      </w:r>
    </w:p>
    <w:p w:rsidR="00902052" w:rsidRPr="00DF4B99" w:rsidRDefault="00902052" w:rsidP="00902052">
      <w:pPr>
        <w:numPr>
          <w:ilvl w:val="0"/>
          <w:numId w:val="4"/>
        </w:numPr>
        <w:shd w:val="clear" w:color="auto" w:fill="FFFFFF"/>
        <w:spacing w:after="160" w:line="240" w:lineRule="auto"/>
        <w:ind w:left="1020" w:right="300"/>
        <w:jc w:val="both"/>
        <w:rPr>
          <w:rFonts w:ascii="Times New Roman" w:eastAsia="Times New Roman" w:hAnsi="Times New Roman" w:cs="Times New Roman"/>
          <w:spacing w:val="7"/>
          <w:sz w:val="28"/>
          <w:szCs w:val="28"/>
          <w:lang w:eastAsia="uk-UA"/>
        </w:rPr>
      </w:pPr>
      <w:r w:rsidRPr="00DF4B99">
        <w:rPr>
          <w:rFonts w:ascii="Times New Roman" w:eastAsia="Times New Roman" w:hAnsi="Times New Roman" w:cs="Times New Roman"/>
          <w:spacing w:val="7"/>
          <w:sz w:val="28"/>
          <w:szCs w:val="28"/>
          <w:shd w:val="clear" w:color="auto" w:fill="FFFFFF"/>
          <w:lang w:eastAsia="uk-UA"/>
        </w:rPr>
        <w:t>додаток 10 «Обсяги капітальних вкладень місцевого бюджету у розрізі інвестиційних проектів».</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100414" w:rsidRDefault="00902052" w:rsidP="00902052">
      <w:pPr>
        <w:shd w:val="clear" w:color="auto" w:fill="FFFFFF"/>
        <w:spacing w:after="160" w:line="240" w:lineRule="auto"/>
        <w:jc w:val="both"/>
        <w:rPr>
          <w:rFonts w:ascii="Times New Roman" w:eastAsia="Times New Roman" w:hAnsi="Times New Roman" w:cs="Times New Roman"/>
          <w:color w:val="FF0000"/>
          <w:spacing w:val="7"/>
          <w:sz w:val="28"/>
          <w:szCs w:val="28"/>
          <w:lang w:eastAsia="uk-UA"/>
        </w:rPr>
      </w:pPr>
      <w:r w:rsidRPr="00100414">
        <w:rPr>
          <w:rFonts w:ascii="Times New Roman" w:eastAsia="Times New Roman" w:hAnsi="Times New Roman" w:cs="Times New Roman"/>
          <w:color w:val="FF0000"/>
          <w:spacing w:val="7"/>
          <w:sz w:val="28"/>
          <w:szCs w:val="28"/>
          <w:lang w:eastAsia="uk-UA"/>
        </w:rPr>
        <w:t> </w:t>
      </w:r>
    </w:p>
    <w:p w:rsidR="00902052" w:rsidRPr="00EC1E73" w:rsidRDefault="00902052" w:rsidP="00902052">
      <w:pPr>
        <w:shd w:val="clear" w:color="auto" w:fill="FFFFFF"/>
        <w:spacing w:after="160" w:line="240" w:lineRule="auto"/>
        <w:jc w:val="center"/>
        <w:rPr>
          <w:rFonts w:ascii="Times New Roman" w:eastAsia="Times New Roman" w:hAnsi="Times New Roman" w:cs="Times New Roman"/>
          <w:b/>
          <w:spacing w:val="7"/>
          <w:sz w:val="28"/>
          <w:szCs w:val="28"/>
          <w:lang w:eastAsia="uk-UA"/>
        </w:rPr>
      </w:pPr>
      <w:r w:rsidRPr="00EC1E73">
        <w:rPr>
          <w:rFonts w:ascii="Times New Roman" w:eastAsia="Times New Roman" w:hAnsi="Times New Roman" w:cs="Times New Roman"/>
          <w:b/>
          <w:spacing w:val="7"/>
          <w:sz w:val="28"/>
          <w:szCs w:val="28"/>
          <w:lang w:val="ru-RU" w:eastAsia="uk-UA"/>
        </w:rPr>
        <w:t xml:space="preserve">Начальник </w:t>
      </w:r>
      <w:proofErr w:type="spellStart"/>
      <w:r w:rsidRPr="00EC1E73">
        <w:rPr>
          <w:rFonts w:ascii="Times New Roman" w:eastAsia="Times New Roman" w:hAnsi="Times New Roman" w:cs="Times New Roman"/>
          <w:b/>
          <w:spacing w:val="7"/>
          <w:sz w:val="28"/>
          <w:szCs w:val="28"/>
          <w:lang w:val="ru-RU" w:eastAsia="uk-UA"/>
        </w:rPr>
        <w:t>фінансового</w:t>
      </w:r>
      <w:proofErr w:type="spellEnd"/>
      <w:r w:rsidRPr="00EC1E73">
        <w:rPr>
          <w:rFonts w:ascii="Times New Roman" w:eastAsia="Times New Roman" w:hAnsi="Times New Roman" w:cs="Times New Roman"/>
          <w:b/>
          <w:spacing w:val="7"/>
          <w:sz w:val="28"/>
          <w:szCs w:val="28"/>
          <w:lang w:val="ru-RU" w:eastAsia="uk-UA"/>
        </w:rPr>
        <w:t xml:space="preserve"> </w:t>
      </w:r>
      <w:proofErr w:type="spellStart"/>
      <w:r w:rsidRPr="00EC1E73">
        <w:rPr>
          <w:rFonts w:ascii="Times New Roman" w:eastAsia="Times New Roman" w:hAnsi="Times New Roman" w:cs="Times New Roman"/>
          <w:b/>
          <w:spacing w:val="7"/>
          <w:sz w:val="28"/>
          <w:szCs w:val="28"/>
          <w:lang w:val="ru-RU" w:eastAsia="uk-UA"/>
        </w:rPr>
        <w:t>відділу</w:t>
      </w:r>
      <w:proofErr w:type="spellEnd"/>
      <w:r w:rsidRPr="00EC1E73">
        <w:rPr>
          <w:rFonts w:ascii="Times New Roman" w:eastAsia="Times New Roman" w:hAnsi="Times New Roman" w:cs="Times New Roman"/>
          <w:b/>
          <w:spacing w:val="7"/>
          <w:sz w:val="28"/>
          <w:szCs w:val="28"/>
          <w:lang w:val="ru-RU" w:eastAsia="uk-UA"/>
        </w:rPr>
        <w:t>    </w:t>
      </w:r>
      <w:r w:rsidR="00EC1E73">
        <w:rPr>
          <w:rFonts w:ascii="Times New Roman" w:eastAsia="Times New Roman" w:hAnsi="Times New Roman" w:cs="Times New Roman"/>
          <w:b/>
          <w:spacing w:val="7"/>
          <w:sz w:val="28"/>
          <w:szCs w:val="28"/>
          <w:lang w:val="ru-RU" w:eastAsia="uk-UA"/>
        </w:rPr>
        <w:t>                          </w:t>
      </w:r>
      <w:r w:rsidRPr="00EC1E73">
        <w:rPr>
          <w:rFonts w:ascii="Times New Roman" w:eastAsia="Times New Roman" w:hAnsi="Times New Roman" w:cs="Times New Roman"/>
          <w:b/>
          <w:spacing w:val="7"/>
          <w:sz w:val="28"/>
          <w:szCs w:val="28"/>
          <w:lang w:val="ru-RU" w:eastAsia="uk-UA"/>
        </w:rPr>
        <w:t xml:space="preserve">    </w:t>
      </w:r>
      <w:r w:rsidR="00EC1E73" w:rsidRPr="00EC1E73">
        <w:rPr>
          <w:rFonts w:ascii="Times New Roman" w:eastAsia="Times New Roman" w:hAnsi="Times New Roman" w:cs="Times New Roman"/>
          <w:b/>
          <w:spacing w:val="7"/>
          <w:sz w:val="28"/>
          <w:szCs w:val="28"/>
          <w:lang w:val="ru-RU" w:eastAsia="uk-UA"/>
        </w:rPr>
        <w:t>Люба КОСТЕЦЬКА</w:t>
      </w:r>
    </w:p>
    <w:p w:rsidR="00952456" w:rsidRPr="00DF4B99" w:rsidRDefault="00952456">
      <w:pPr>
        <w:rPr>
          <w:rFonts w:ascii="Times New Roman" w:hAnsi="Times New Roman" w:cs="Times New Roman"/>
          <w:sz w:val="28"/>
          <w:szCs w:val="28"/>
        </w:rPr>
      </w:pPr>
    </w:p>
    <w:p w:rsidR="00100414" w:rsidRPr="00DF4B99" w:rsidRDefault="00100414">
      <w:pPr>
        <w:rPr>
          <w:rFonts w:ascii="Times New Roman" w:hAnsi="Times New Roman" w:cs="Times New Roman"/>
          <w:sz w:val="28"/>
          <w:szCs w:val="28"/>
        </w:rPr>
      </w:pPr>
    </w:p>
    <w:sectPr w:rsidR="00100414" w:rsidRPr="00DF4B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7724"/>
    <w:multiLevelType w:val="multilevel"/>
    <w:tmpl w:val="DFA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7048E"/>
    <w:multiLevelType w:val="multilevel"/>
    <w:tmpl w:val="E4C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054B5"/>
    <w:multiLevelType w:val="multilevel"/>
    <w:tmpl w:val="F95E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27739"/>
    <w:multiLevelType w:val="multilevel"/>
    <w:tmpl w:val="2360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63435"/>
    <w:multiLevelType w:val="hybridMultilevel"/>
    <w:tmpl w:val="890E5946"/>
    <w:lvl w:ilvl="0" w:tplc="E2C42B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52"/>
    <w:rsid w:val="000B5EB5"/>
    <w:rsid w:val="000F1E14"/>
    <w:rsid w:val="00100414"/>
    <w:rsid w:val="00132A5E"/>
    <w:rsid w:val="0014789C"/>
    <w:rsid w:val="00192452"/>
    <w:rsid w:val="001F224A"/>
    <w:rsid w:val="00281944"/>
    <w:rsid w:val="002A2FC3"/>
    <w:rsid w:val="002C4C98"/>
    <w:rsid w:val="002F4CF6"/>
    <w:rsid w:val="004659DE"/>
    <w:rsid w:val="00511F0D"/>
    <w:rsid w:val="005351E8"/>
    <w:rsid w:val="006541E6"/>
    <w:rsid w:val="00662BA8"/>
    <w:rsid w:val="006C5B79"/>
    <w:rsid w:val="006F14BA"/>
    <w:rsid w:val="00746FE0"/>
    <w:rsid w:val="00747E2A"/>
    <w:rsid w:val="00751D6C"/>
    <w:rsid w:val="007977A9"/>
    <w:rsid w:val="00820A3E"/>
    <w:rsid w:val="00902052"/>
    <w:rsid w:val="00952456"/>
    <w:rsid w:val="00956118"/>
    <w:rsid w:val="00981CC7"/>
    <w:rsid w:val="009C7E3A"/>
    <w:rsid w:val="009E5693"/>
    <w:rsid w:val="009F1571"/>
    <w:rsid w:val="009F50FC"/>
    <w:rsid w:val="00A33B98"/>
    <w:rsid w:val="00AF25D2"/>
    <w:rsid w:val="00BD0FF8"/>
    <w:rsid w:val="00BF497B"/>
    <w:rsid w:val="00C53C67"/>
    <w:rsid w:val="00D1679E"/>
    <w:rsid w:val="00DC10F7"/>
    <w:rsid w:val="00DD525D"/>
    <w:rsid w:val="00DE3BF3"/>
    <w:rsid w:val="00DF4B99"/>
    <w:rsid w:val="00E51787"/>
    <w:rsid w:val="00E87BF2"/>
    <w:rsid w:val="00EC1E73"/>
    <w:rsid w:val="00F133AD"/>
    <w:rsid w:val="00F14D21"/>
    <w:rsid w:val="00F20C00"/>
    <w:rsid w:val="00F307C0"/>
    <w:rsid w:val="00F73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052"/>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9020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F497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F497B"/>
    <w:rPr>
      <w:rFonts w:ascii="Tahoma" w:hAnsi="Tahoma" w:cs="Tahoma"/>
      <w:sz w:val="16"/>
      <w:szCs w:val="16"/>
    </w:rPr>
  </w:style>
  <w:style w:type="paragraph" w:styleId="a6">
    <w:name w:val="List Paragraph"/>
    <w:basedOn w:val="a"/>
    <w:uiPriority w:val="34"/>
    <w:qFormat/>
    <w:rsid w:val="009C7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052"/>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9020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F497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F497B"/>
    <w:rPr>
      <w:rFonts w:ascii="Tahoma" w:hAnsi="Tahoma" w:cs="Tahoma"/>
      <w:sz w:val="16"/>
      <w:szCs w:val="16"/>
    </w:rPr>
  </w:style>
  <w:style w:type="paragraph" w:styleId="a6">
    <w:name w:val="List Paragraph"/>
    <w:basedOn w:val="a"/>
    <w:uiPriority w:val="34"/>
    <w:qFormat/>
    <w:rsid w:val="009C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37180">
      <w:bodyDiv w:val="1"/>
      <w:marLeft w:val="0"/>
      <w:marRight w:val="0"/>
      <w:marTop w:val="0"/>
      <w:marBottom w:val="0"/>
      <w:divBdr>
        <w:top w:val="none" w:sz="0" w:space="0" w:color="auto"/>
        <w:left w:val="none" w:sz="0" w:space="0" w:color="auto"/>
        <w:bottom w:val="none" w:sz="0" w:space="0" w:color="auto"/>
        <w:right w:val="none" w:sz="0" w:space="0" w:color="auto"/>
      </w:divBdr>
      <w:divsChild>
        <w:div w:id="1291783370">
          <w:marLeft w:val="0"/>
          <w:marRight w:val="0"/>
          <w:marTop w:val="600"/>
          <w:marBottom w:val="0"/>
          <w:divBdr>
            <w:top w:val="none" w:sz="0" w:space="0" w:color="auto"/>
            <w:left w:val="none" w:sz="0" w:space="0" w:color="auto"/>
            <w:bottom w:val="none" w:sz="0" w:space="0" w:color="auto"/>
            <w:right w:val="none" w:sz="0" w:space="0" w:color="auto"/>
          </w:divBdr>
        </w:div>
        <w:div w:id="1235968186">
          <w:marLeft w:val="0"/>
          <w:marRight w:val="0"/>
          <w:marTop w:val="600"/>
          <w:marBottom w:val="0"/>
          <w:divBdr>
            <w:top w:val="none" w:sz="0" w:space="0" w:color="auto"/>
            <w:left w:val="none" w:sz="0" w:space="0" w:color="auto"/>
            <w:bottom w:val="none" w:sz="0" w:space="0" w:color="auto"/>
            <w:right w:val="none" w:sz="0" w:space="0" w:color="auto"/>
          </w:divBdr>
        </w:div>
      </w:divsChild>
    </w:div>
    <w:div w:id="1112625067">
      <w:bodyDiv w:val="1"/>
      <w:marLeft w:val="0"/>
      <w:marRight w:val="0"/>
      <w:marTop w:val="0"/>
      <w:marBottom w:val="0"/>
      <w:divBdr>
        <w:top w:val="none" w:sz="0" w:space="0" w:color="auto"/>
        <w:left w:val="none" w:sz="0" w:space="0" w:color="auto"/>
        <w:bottom w:val="none" w:sz="0" w:space="0" w:color="auto"/>
        <w:right w:val="none" w:sz="0" w:space="0" w:color="auto"/>
      </w:divBdr>
    </w:div>
    <w:div w:id="12027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5A15-E7CB-4990-B72D-668FC619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15936</Words>
  <Characters>9084</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dc:creator>
  <cp:lastModifiedBy>DiL</cp:lastModifiedBy>
  <cp:revision>11</cp:revision>
  <cp:lastPrinted>2021-09-09T12:00:00Z</cp:lastPrinted>
  <dcterms:created xsi:type="dcterms:W3CDTF">2021-09-23T11:24:00Z</dcterms:created>
  <dcterms:modified xsi:type="dcterms:W3CDTF">2021-09-24T10:49:00Z</dcterms:modified>
</cp:coreProperties>
</file>