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7" w:rsidRPr="00240297" w:rsidRDefault="00C14477" w:rsidP="00C14477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C14477" w:rsidRPr="00240297" w:rsidRDefault="00C14477" w:rsidP="00C14477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C14477" w:rsidRPr="00240297" w:rsidRDefault="00C14477" w:rsidP="00C14477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C14477" w:rsidRPr="00240297" w:rsidRDefault="00C14477" w:rsidP="00C14477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C14477" w:rsidRDefault="00C14477" w:rsidP="00C14477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C14477" w:rsidRPr="007116E6" w:rsidRDefault="00C14477" w:rsidP="00C14477">
      <w:pPr>
        <w:jc w:val="center"/>
        <w:rPr>
          <w:bCs/>
          <w:caps/>
          <w:sz w:val="24"/>
          <w:szCs w:val="24"/>
        </w:rPr>
      </w:pPr>
    </w:p>
    <w:p w:rsidR="00C14477" w:rsidRDefault="00C14477" w:rsidP="00C1447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6519">
        <w:rPr>
          <w:b/>
          <w:bCs/>
          <w:sz w:val="24"/>
          <w:szCs w:val="24"/>
        </w:rPr>
        <w:t>ТЕХНОЛОГІЧНА КАРТКА АДМІНІСТРАТИВНОЇ ПОСЛУГИ</w:t>
      </w:r>
    </w:p>
    <w:p w:rsidR="00C14477" w:rsidRPr="00766519" w:rsidRDefault="00C14477" w:rsidP="00C1447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477" w:rsidRPr="00766519" w:rsidRDefault="00C14477" w:rsidP="00C1447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66519">
        <w:rPr>
          <w:b/>
          <w:bCs/>
          <w:sz w:val="24"/>
          <w:szCs w:val="24"/>
        </w:rPr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формування)</w:t>
      </w:r>
    </w:p>
    <w:p w:rsidR="00C14477" w:rsidRPr="00766519" w:rsidRDefault="00C14477" w:rsidP="00C14477">
      <w:pPr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W w:w="506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49"/>
        <w:gridCol w:w="2066"/>
        <w:gridCol w:w="897"/>
        <w:gridCol w:w="2264"/>
      </w:tblGrid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Дія</w:t>
            </w:r>
            <w:r>
              <w:rPr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Строк виконання етапів</w:t>
            </w:r>
          </w:p>
        </w:tc>
      </w:tr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1. Прийом за описом документів, які подані для включення до Єдиного державного реєстру юридичних осіб, фізичних осіб – підприємців та громадських формувань відомостей про юридичну особу, створену та зареєстровану до 01.07.2004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Державний реєстратор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 день надходження документів.</w:t>
            </w:r>
          </w:p>
        </w:tc>
      </w:tr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2. Видача (надсилання поштовим відправленням) заявнику копії опису, за яким прийняті документи з відміткою про дату надходження документів.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Державний реєстратор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 xml:space="preserve">В день надходження документів.    </w:t>
            </w:r>
          </w:p>
        </w:tc>
      </w:tr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3. Перевірка документів, які подаються державному реєстратору, на відсутність підстав зупинення розгляду документів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Не повинен перевищувати 24 годин після надходження документів, крім вихідних та святкових днів.</w:t>
            </w:r>
          </w:p>
        </w:tc>
      </w:tr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4.  Оприлюднення на порталі електронних сервісів (надсилання на електронну пошту заявнику)  повідомлення про зупинення розгляду документів, із  зазначенням підстав зупинення розгляду документів та документів, що подавалися відповідно до опису.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Не повинен перевищувати 24 годин після надходження документів, крім вихідних та святкових днів.</w:t>
            </w:r>
          </w:p>
        </w:tc>
      </w:tr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5. Включення до Єдиного державного реєстру юридичних осіб, фізичних осіб – підприємців та громадських формувань відомостей про юридичну особу, створену та зареєстровану до 01.07.2004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Не повинен перевищувати 24 годин після надходження документів, крім вихідних та святкових днів.</w:t>
            </w:r>
          </w:p>
        </w:tc>
      </w:tr>
      <w:tr w:rsidR="00C14477" w:rsidRPr="00766519" w:rsidTr="007B37D7">
        <w:tc>
          <w:tcPr>
            <w:tcW w:w="2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6. Оприлюднення на порталі електронних сервісів результатів надання адміністративних послуг у сфері державної реєстрації.</w:t>
            </w:r>
          </w:p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 xml:space="preserve">За бажанням заявника з Єдиного </w:t>
            </w:r>
            <w:r w:rsidRPr="00766519">
              <w:rPr>
                <w:bCs/>
                <w:sz w:val="24"/>
                <w:szCs w:val="24"/>
              </w:rPr>
              <w:lastRenderedPageBreak/>
              <w:t xml:space="preserve">державного реєстру юридичних осіб, фізичних осіб – підприємців та громадських формувань надається виписка у паперовій формі з проставленням підпису – у разі подання заяви про державну реєстрацію у паперовій </w:t>
            </w:r>
            <w:proofErr w:type="spellStart"/>
            <w:r w:rsidRPr="00766519">
              <w:rPr>
                <w:bCs/>
                <w:sz w:val="24"/>
                <w:szCs w:val="24"/>
              </w:rPr>
              <w:t>формі.Заявник</w:t>
            </w:r>
            <w:proofErr w:type="spellEnd"/>
            <w:r w:rsidRPr="00766519">
              <w:rPr>
                <w:bCs/>
                <w:sz w:val="24"/>
                <w:szCs w:val="24"/>
              </w:rPr>
              <w:t xml:space="preserve"> за кодом, розміщеним на описі наданих документів, виконує пошук відомостей на сайті Міністерства юстиції України (</w:t>
            </w:r>
            <w:hyperlink r:id="rId5" w:history="1">
              <w:r w:rsidRPr="00766519">
                <w:rPr>
                  <w:rStyle w:val="a3"/>
                  <w:bCs/>
                  <w:sz w:val="24"/>
                  <w:szCs w:val="24"/>
                </w:rPr>
                <w:t>https://usr.minjust.gov.ua</w:t>
              </w:r>
            </w:hyperlink>
            <w:r w:rsidRPr="00766519">
              <w:rPr>
                <w:b/>
                <w:bCs/>
                <w:sz w:val="24"/>
                <w:szCs w:val="24"/>
              </w:rPr>
              <w:t>)</w:t>
            </w:r>
            <w:r w:rsidRPr="00766519">
              <w:rPr>
                <w:bCs/>
                <w:sz w:val="24"/>
                <w:szCs w:val="24"/>
              </w:rPr>
              <w:t>. </w:t>
            </w:r>
            <w:r w:rsidRPr="00766519">
              <w:rPr>
                <w:bCs/>
                <w:sz w:val="24"/>
                <w:szCs w:val="24"/>
              </w:rPr>
              <w:br/>
              <w:t>   </w:t>
            </w:r>
            <w:r w:rsidRPr="00766519">
              <w:rPr>
                <w:bCs/>
                <w:sz w:val="24"/>
                <w:szCs w:val="24"/>
                <w:u w:val="single"/>
              </w:rPr>
              <w:t>В результаті пошуку можна отримати:</w:t>
            </w:r>
            <w:r w:rsidRPr="00766519">
              <w:rPr>
                <w:bCs/>
                <w:sz w:val="24"/>
                <w:szCs w:val="24"/>
                <w:u w:val="single"/>
              </w:rPr>
              <w:br/>
            </w:r>
            <w:r w:rsidRPr="00766519">
              <w:rPr>
                <w:bCs/>
                <w:sz w:val="24"/>
                <w:szCs w:val="24"/>
              </w:rPr>
              <w:t>    відомості про перелік підстав відмови у проведенні дії,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виписку.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lastRenderedPageBreak/>
              <w:t xml:space="preserve">Державний реєстратор </w:t>
            </w:r>
          </w:p>
        </w:tc>
        <w:tc>
          <w:tcPr>
            <w:tcW w:w="4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11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 xml:space="preserve">Не повинен перевищувати 24 годин після надходження документів, крім </w:t>
            </w:r>
            <w:r w:rsidRPr="00766519">
              <w:rPr>
                <w:bCs/>
                <w:sz w:val="24"/>
                <w:szCs w:val="24"/>
              </w:rPr>
              <w:lastRenderedPageBreak/>
              <w:t>вихідних та святкових днів.</w:t>
            </w:r>
          </w:p>
        </w:tc>
      </w:tr>
      <w:tr w:rsidR="00C14477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lastRenderedPageBreak/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C14477" w:rsidRPr="00766519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C14477" w:rsidRPr="00766519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66519">
              <w:rPr>
                <w:bCs/>
                <w:sz w:val="24"/>
                <w:szCs w:val="24"/>
              </w:rPr>
              <w:t>24 години</w:t>
            </w:r>
          </w:p>
        </w:tc>
      </w:tr>
      <w:tr w:rsidR="00C14477" w:rsidRPr="005043C4" w:rsidTr="007B37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4"/>
          </w:tcPr>
          <w:p w:rsidR="00C14477" w:rsidRPr="005043C4" w:rsidRDefault="00C14477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C14477" w:rsidRPr="00766519" w:rsidRDefault="00C14477" w:rsidP="00C14477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C14477" w:rsidRPr="00D22BB8" w:rsidRDefault="00C14477" w:rsidP="00C14477">
      <w:pPr>
        <w:autoSpaceDE w:val="0"/>
        <w:autoSpaceDN w:val="0"/>
        <w:adjustRightInd w:val="0"/>
        <w:rPr>
          <w:bCs/>
          <w:sz w:val="24"/>
          <w:szCs w:val="24"/>
          <w:lang w:eastAsia="uk-UA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3239C3" w:rsidRDefault="00C14477" w:rsidP="00C14477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77"/>
    <w:rsid w:val="003239C3"/>
    <w:rsid w:val="00C1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44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144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1968</Words>
  <Characters>1122</Characters>
  <Application>Microsoft Office Word</Application>
  <DocSecurity>0</DocSecurity>
  <Lines>9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2021-07-14T11:34:00Z</dcterms:created>
  <dcterms:modified xsi:type="dcterms:W3CDTF">2021-07-14T11:34:00Z</dcterms:modified>
</cp:coreProperties>
</file>