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92" w:rsidRPr="000E0CDF" w:rsidRDefault="00846292" w:rsidP="00846292">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846292" w:rsidRPr="000E0CDF" w:rsidRDefault="00846292" w:rsidP="00846292">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846292" w:rsidRDefault="00846292" w:rsidP="00846292">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846292" w:rsidRPr="000E0CDF" w:rsidRDefault="00846292" w:rsidP="00846292">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846292" w:rsidRPr="00FE1855" w:rsidRDefault="00846292" w:rsidP="00846292">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846292" w:rsidRDefault="00846292" w:rsidP="00846292">
      <w:pPr>
        <w:rPr>
          <w:rFonts w:ascii="Times New Roman" w:hAnsi="Times New Roman" w:cs="Times New Roman"/>
          <w:sz w:val="24"/>
          <w:szCs w:val="24"/>
        </w:rPr>
      </w:pPr>
    </w:p>
    <w:p w:rsidR="00846292" w:rsidRPr="00712CC2" w:rsidRDefault="00846292" w:rsidP="00846292">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846292" w:rsidRPr="00520820" w:rsidRDefault="00846292" w:rsidP="00846292">
      <w:pPr>
        <w:jc w:val="center"/>
        <w:rPr>
          <w:rFonts w:ascii="Times New Roman" w:hAnsi="Times New Roman" w:cs="Times New Roman"/>
          <w:b/>
          <w:sz w:val="24"/>
          <w:szCs w:val="24"/>
        </w:rPr>
      </w:pPr>
    </w:p>
    <w:p w:rsidR="00846292" w:rsidRPr="000E0CDF" w:rsidRDefault="00846292" w:rsidP="00846292">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рішення про припинення юридичної особи (крім громадського формування)</w:t>
      </w:r>
    </w:p>
    <w:p w:rsidR="00846292" w:rsidRPr="000E0CDF" w:rsidRDefault="00846292" w:rsidP="00846292">
      <w:pPr>
        <w:rPr>
          <w:rFonts w:ascii="Times New Roman" w:hAnsi="Times New Roman" w:cs="Times New Roman"/>
          <w:sz w:val="24"/>
          <w:szCs w:val="24"/>
        </w:rPr>
      </w:pPr>
    </w:p>
    <w:p w:rsidR="00846292" w:rsidRDefault="00846292" w:rsidP="00846292">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846292" w:rsidRDefault="00846292" w:rsidP="00846292">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846292"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846292" w:rsidRPr="003F5461" w:rsidRDefault="00846292"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846292"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846292" w:rsidRPr="00925163" w:rsidRDefault="00846292"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846292" w:rsidRPr="00925163" w:rsidRDefault="00846292"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846292" w:rsidRPr="00925163" w:rsidRDefault="00846292"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846292" w:rsidRPr="00925163" w:rsidRDefault="00846292"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846292" w:rsidRPr="00925163" w:rsidRDefault="00846292"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846292" w:rsidRPr="00925163" w:rsidRDefault="00846292"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846292" w:rsidRPr="003F5461" w:rsidRDefault="00846292"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846292"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846292"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846292" w:rsidRPr="003F5461" w:rsidRDefault="00846292" w:rsidP="00CE1066">
            <w:pPr>
              <w:jc w:val="left"/>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846292" w:rsidRPr="003F5461" w:rsidRDefault="00846292"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846292" w:rsidRDefault="00846292" w:rsidP="00846292"/>
    <w:p w:rsidR="00846292" w:rsidRDefault="00846292" w:rsidP="00846292">
      <w:r w:rsidRPr="003F5461">
        <w:rPr>
          <w:rFonts w:ascii="Times New Roman" w:hAnsi="Times New Roman" w:cs="Times New Roman"/>
          <w:b/>
          <w:sz w:val="24"/>
          <w:szCs w:val="24"/>
          <w:lang w:eastAsia="uk-UA"/>
        </w:rPr>
        <w:t>Умови отримання адміністративної послуги</w:t>
      </w:r>
    </w:p>
    <w:p w:rsidR="00846292" w:rsidRDefault="00846292" w:rsidP="00846292"/>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tcPr>
          <w:p w:rsidR="00846292" w:rsidRPr="003F5461" w:rsidRDefault="00846292"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846292" w:rsidRPr="003F5461" w:rsidRDefault="00846292"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уповноваженого представника юридичної особи (далі – заявник)</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Для державної реєстрації рішення про припинення юридичної особи подається:</w:t>
            </w:r>
          </w:p>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w:t>
            </w:r>
            <w:r w:rsidRPr="00925163">
              <w:rPr>
                <w:rFonts w:ascii="Times New Roman" w:hAnsi="Times New Roman" w:cs="Times New Roman"/>
                <w:noProof/>
                <w:sz w:val="24"/>
                <w:szCs w:val="24"/>
                <w:lang w:eastAsia="uk-UA"/>
              </w:rPr>
              <w:lastRenderedPageBreak/>
              <w:t>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копія рішення Національного банку України про відкликання банківської ліцензії та ліквідацію банку;</w:t>
            </w:r>
          </w:p>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копія рішення Фонду гарантування вкладів фізичних осіб про призначення уповноваженої особи Фонду.</w:t>
            </w:r>
          </w:p>
          <w:p w:rsidR="00846292" w:rsidRPr="00925163" w:rsidRDefault="00846292"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846292" w:rsidRPr="003F5461" w:rsidRDefault="00846292"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846292" w:rsidRPr="00925163" w:rsidRDefault="00846292"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846292" w:rsidRPr="003F5461" w:rsidRDefault="00846292"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tcPr>
          <w:p w:rsidR="00846292" w:rsidRPr="003F5461" w:rsidRDefault="00846292" w:rsidP="00CE1066">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846292" w:rsidRPr="003F5461" w:rsidRDefault="0084629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846292" w:rsidRPr="00925163" w:rsidRDefault="0084629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46292" w:rsidRPr="00925163" w:rsidRDefault="0084629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846292" w:rsidRPr="003F5461" w:rsidRDefault="0084629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tcPr>
          <w:p w:rsidR="00846292" w:rsidRPr="00D64703" w:rsidRDefault="00846292"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46292" w:rsidRPr="003F5461" w:rsidRDefault="00846292"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D64703" w:rsidRDefault="00846292"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lastRenderedPageBreak/>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46292" w:rsidRPr="00925163" w:rsidRDefault="00846292"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 усунуто підстави для зупинення розгляду документів протягом встановленого строку;</w:t>
            </w:r>
          </w:p>
          <w:p w:rsidR="00846292" w:rsidRPr="003F5461" w:rsidRDefault="00846292"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документи суперечать вимогам Конституції та законів України</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846292" w:rsidRPr="00925163" w:rsidRDefault="00846292"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846292" w:rsidRPr="00925163" w:rsidRDefault="00846292"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w:t>
            </w:r>
          </w:p>
          <w:p w:rsidR="00846292" w:rsidRPr="003F5461" w:rsidRDefault="00846292"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846292" w:rsidRPr="003F5461" w:rsidRDefault="00846292"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846292" w:rsidRPr="00925163" w:rsidRDefault="00846292"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846292" w:rsidRPr="00925163" w:rsidRDefault="00846292"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846292" w:rsidRPr="00925163" w:rsidRDefault="00846292"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925163">
              <w:rPr>
                <w:rFonts w:ascii="Times New Roman" w:hAnsi="Times New Roman" w:cs="Times New Roman"/>
                <w:noProof/>
                <w:sz w:val="24"/>
                <w:szCs w:val="24"/>
                <w:lang w:eastAsia="uk-UA"/>
              </w:rPr>
              <w:lastRenderedPageBreak/>
              <w:t>повернення.</w:t>
            </w:r>
          </w:p>
          <w:p w:rsidR="00846292" w:rsidRPr="008A1D69" w:rsidRDefault="00846292"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846292" w:rsidRPr="001B7596" w:rsidTr="00CE1066">
        <w:tc>
          <w:tcPr>
            <w:tcW w:w="1508" w:type="pct"/>
            <w:tcBorders>
              <w:top w:val="outset" w:sz="6" w:space="0" w:color="000000"/>
              <w:left w:val="outset" w:sz="6" w:space="0" w:color="000000"/>
              <w:bottom w:val="outset" w:sz="6" w:space="0" w:color="000000"/>
              <w:right w:val="outset" w:sz="6" w:space="0" w:color="000000"/>
            </w:tcBorders>
          </w:tcPr>
          <w:p w:rsidR="00846292" w:rsidRDefault="00846292"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846292" w:rsidRPr="00925163" w:rsidRDefault="00846292"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846292" w:rsidRPr="00925163" w:rsidRDefault="00846292"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846292" w:rsidRPr="008A1D69" w:rsidRDefault="00846292"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bl>
    <w:p w:rsidR="00846292" w:rsidRDefault="00846292" w:rsidP="00846292">
      <w:pPr>
        <w:rPr>
          <w:rFonts w:ascii="Times New Roman" w:hAnsi="Times New Roman" w:cs="Times New Roman"/>
          <w:sz w:val="24"/>
          <w:szCs w:val="24"/>
        </w:rPr>
        <w:sectPr w:rsidR="00846292" w:rsidSect="006D2A3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46292"/>
    <w:rsid w:val="006D5570"/>
    <w:rsid w:val="008462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92"/>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5458</Words>
  <Characters>3112</Characters>
  <Application>Microsoft Office Word</Application>
  <DocSecurity>0</DocSecurity>
  <Lines>25</Lines>
  <Paragraphs>17</Paragraphs>
  <ScaleCrop>false</ScaleCrop>
  <Company>diakov.net</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2021-07-15T06:52:00Z</dcterms:created>
  <dcterms:modified xsi:type="dcterms:W3CDTF">2021-07-15T06:52:00Z</dcterms:modified>
</cp:coreProperties>
</file>