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43" w:rsidRPr="003C1E78" w:rsidRDefault="00A92E43" w:rsidP="00A92E43">
      <w:pPr>
        <w:spacing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eastAsia="uk-UA"/>
        </w:rPr>
        <w:drawing>
          <wp:inline distT="0" distB="0" distL="0" distR="0">
            <wp:extent cx="44005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E43" w:rsidRPr="003C1E78" w:rsidRDefault="00A92E43" w:rsidP="00A92E4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Україна                                                                                                              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Більшівцівська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 селищна  рада                                                                                              ІІІ сесія </w:t>
      </w:r>
      <w:r w:rsidRPr="003C1E78">
        <w:rPr>
          <w:rFonts w:ascii="Times New Roman" w:hAnsi="Times New Roman"/>
          <w:b/>
          <w:bCs/>
          <w:sz w:val="28"/>
          <w:szCs w:val="28"/>
        </w:rPr>
        <w:t>VIІI скликання</w:t>
      </w:r>
      <w:r w:rsidRPr="003C1E78">
        <w:rPr>
          <w:rFonts w:ascii="Times New Roman" w:hAnsi="Times New Roman"/>
          <w:sz w:val="28"/>
          <w:szCs w:val="28"/>
        </w:rPr>
        <w:t> </w:t>
      </w:r>
    </w:p>
    <w:p w:rsidR="00A92E43" w:rsidRPr="003C1E78" w:rsidRDefault="00A92E43" w:rsidP="00A92E43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>РІШЕННЯ</w:t>
      </w: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 xml:space="preserve">від 16 лютого 2021 року                                                              </w:t>
      </w:r>
      <w:proofErr w:type="spellStart"/>
      <w:r w:rsidRPr="003C1E78">
        <w:rPr>
          <w:rFonts w:ascii="Times New Roman" w:hAnsi="Times New Roman"/>
          <w:sz w:val="28"/>
          <w:szCs w:val="28"/>
        </w:rPr>
        <w:t>смт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78">
        <w:rPr>
          <w:rFonts w:ascii="Times New Roman" w:hAnsi="Times New Roman"/>
          <w:sz w:val="28"/>
          <w:szCs w:val="28"/>
        </w:rPr>
        <w:t>Більшівці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               </w:t>
      </w:r>
      <w:r w:rsidRPr="003C1E78">
        <w:rPr>
          <w:rFonts w:ascii="Times New Roman" w:hAnsi="Times New Roman"/>
          <w:bCs/>
          <w:sz w:val="28"/>
          <w:szCs w:val="28"/>
        </w:rPr>
        <w:t>№ 217</w:t>
      </w:r>
    </w:p>
    <w:p w:rsidR="00A92E43" w:rsidRPr="003C1E78" w:rsidRDefault="00A92E43" w:rsidP="00A92E4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color w:val="333333"/>
          <w:sz w:val="28"/>
          <w:szCs w:val="28"/>
          <w:lang w:eastAsia="uk-UA"/>
        </w:rPr>
        <w:t>Про затвердження Порядку виявлення та</w:t>
      </w:r>
    </w:p>
    <w:p w:rsidR="00A92E43" w:rsidRPr="003C1E78" w:rsidRDefault="00A92E43" w:rsidP="00A92E43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color w:val="333333"/>
          <w:sz w:val="28"/>
          <w:szCs w:val="28"/>
          <w:lang w:eastAsia="uk-UA"/>
        </w:rPr>
        <w:t xml:space="preserve">набуття у комунальну власність </w:t>
      </w:r>
    </w:p>
    <w:p w:rsidR="00A92E43" w:rsidRPr="003C1E78" w:rsidRDefault="00A92E43" w:rsidP="00A92E43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color w:val="333333"/>
          <w:sz w:val="28"/>
          <w:szCs w:val="28"/>
          <w:lang w:eastAsia="uk-UA"/>
        </w:rPr>
        <w:t>Більшівцівської територіальної громади</w:t>
      </w:r>
    </w:p>
    <w:p w:rsidR="00A92E43" w:rsidRPr="003C1E78" w:rsidRDefault="00A92E43" w:rsidP="00A92E43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color w:val="333333"/>
          <w:sz w:val="28"/>
          <w:szCs w:val="28"/>
          <w:lang w:eastAsia="uk-UA"/>
        </w:rPr>
        <w:t>нерухомого майна, відмінного від земельної ділянки,</w:t>
      </w:r>
    </w:p>
    <w:p w:rsidR="00A92E43" w:rsidRPr="003C1E78" w:rsidRDefault="00A92E43" w:rsidP="00A92E43">
      <w:pPr>
        <w:shd w:val="clear" w:color="auto" w:fill="FFFFFF"/>
        <w:spacing w:after="0" w:line="240" w:lineRule="auto"/>
        <w:rPr>
          <w:rFonts w:ascii="Times New Roman" w:hAnsi="Times New Roman"/>
          <w:b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color w:val="333333"/>
          <w:sz w:val="28"/>
          <w:szCs w:val="28"/>
          <w:lang w:eastAsia="uk-UA"/>
        </w:rPr>
        <w:t xml:space="preserve">визнаного судом </w:t>
      </w:r>
      <w:proofErr w:type="spellStart"/>
      <w:r w:rsidRPr="003C1E78">
        <w:rPr>
          <w:rFonts w:ascii="Times New Roman" w:hAnsi="Times New Roman"/>
          <w:b/>
          <w:color w:val="333333"/>
          <w:sz w:val="28"/>
          <w:szCs w:val="28"/>
          <w:lang w:eastAsia="uk-UA"/>
        </w:rPr>
        <w:t>відумерлою</w:t>
      </w:r>
      <w:proofErr w:type="spellEnd"/>
      <w:r w:rsidRPr="003C1E78">
        <w:rPr>
          <w:rFonts w:ascii="Times New Roman" w:hAnsi="Times New Roman"/>
          <w:b/>
          <w:color w:val="333333"/>
          <w:sz w:val="28"/>
          <w:szCs w:val="28"/>
          <w:lang w:eastAsia="uk-UA"/>
        </w:rPr>
        <w:t xml:space="preserve"> спадщиною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color w:val="333333"/>
          <w:sz w:val="28"/>
          <w:szCs w:val="28"/>
          <w:lang w:eastAsia="uk-UA"/>
        </w:rPr>
        <w:t> 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 xml:space="preserve">З метою врегулювання питань щодо виявлення та набуття у комунальну власність Більшівцівської територіальної громади нерухомого майна, відмінного від земельної ділянки, визнаного судом </w:t>
      </w:r>
      <w:proofErr w:type="spellStart"/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>відумерлою</w:t>
      </w:r>
      <w:proofErr w:type="spellEnd"/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спадщиною, керуючись ст. 335 та 1277 Цивільного кодексу України, ст. 29, 40, 59 та 60 Закону України «Про місцеве самоврядування в Україні», законами України «Про державну реєстрацію речових прав на нерухоме майно та їх обтяжень», </w:t>
      </w:r>
      <w:proofErr w:type="spellStart"/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>Більшівцівська</w:t>
      </w:r>
      <w:proofErr w:type="spellEnd"/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селищна рада </w:t>
      </w:r>
      <w:r w:rsidRPr="003C1E78">
        <w:rPr>
          <w:rFonts w:ascii="Times New Roman" w:hAnsi="Times New Roman"/>
          <w:b/>
          <w:color w:val="333333"/>
          <w:sz w:val="28"/>
          <w:szCs w:val="28"/>
          <w:lang w:eastAsia="uk-UA"/>
        </w:rPr>
        <w:t>вирішила: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> 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 xml:space="preserve">1. Затвердити Порядок виявлення та набуття у комунальну власність Більшівцівської територіальної громади нерухомого майна, відмінного від земельної ділянки, визнаного судом </w:t>
      </w:r>
      <w:proofErr w:type="spellStart"/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>відумерлою</w:t>
      </w:r>
      <w:proofErr w:type="spellEnd"/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спадщиною (додаток 1).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 xml:space="preserve">2. Створити постійно діючу комісію з питань виявлення та набуття у комунальну власність Більшівцівської територіальної громади майна </w:t>
      </w:r>
      <w:proofErr w:type="spellStart"/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>відумерлої</w:t>
      </w:r>
      <w:proofErr w:type="spellEnd"/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 xml:space="preserve"> спадщини та затвердити її персональний склад (додаток 2).</w:t>
      </w:r>
    </w:p>
    <w:p w:rsidR="00A92E43" w:rsidRPr="003C1E78" w:rsidRDefault="00A92E43" w:rsidP="00A92E43">
      <w:pPr>
        <w:pStyle w:val="paragraph"/>
        <w:spacing w:before="0" w:beforeAutospacing="0" w:after="0" w:afterAutospacing="0"/>
        <w:jc w:val="both"/>
        <w:textAlignment w:val="baseline"/>
        <w:rPr>
          <w:lang w:val="uk-UA"/>
        </w:rPr>
      </w:pPr>
      <w:r w:rsidRPr="003C1E78">
        <w:rPr>
          <w:color w:val="333333"/>
          <w:sz w:val="28"/>
          <w:szCs w:val="28"/>
          <w:lang w:val="uk-UA" w:eastAsia="uk-UA"/>
        </w:rPr>
        <w:t xml:space="preserve">        </w:t>
      </w:r>
      <w:r w:rsidRPr="003C1E78">
        <w:rPr>
          <w:color w:val="333333"/>
          <w:sz w:val="28"/>
          <w:szCs w:val="28"/>
          <w:lang w:eastAsia="uk-UA"/>
        </w:rPr>
        <w:t xml:space="preserve">3. Контроль за </w:t>
      </w:r>
      <w:proofErr w:type="spellStart"/>
      <w:r w:rsidRPr="003C1E78">
        <w:rPr>
          <w:color w:val="333333"/>
          <w:sz w:val="28"/>
          <w:szCs w:val="28"/>
          <w:lang w:eastAsia="uk-UA"/>
        </w:rPr>
        <w:t>виконанням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цього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proofErr w:type="gramStart"/>
      <w:r w:rsidRPr="003C1E78">
        <w:rPr>
          <w:color w:val="333333"/>
          <w:sz w:val="28"/>
          <w:szCs w:val="28"/>
          <w:lang w:eastAsia="uk-UA"/>
        </w:rPr>
        <w:t>р</w:t>
      </w:r>
      <w:proofErr w:type="gramEnd"/>
      <w:r w:rsidRPr="003C1E78">
        <w:rPr>
          <w:color w:val="333333"/>
          <w:sz w:val="28"/>
          <w:szCs w:val="28"/>
          <w:lang w:eastAsia="uk-UA"/>
        </w:rPr>
        <w:t>ішення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покласти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на </w:t>
      </w:r>
      <w:proofErr w:type="spellStart"/>
      <w:r w:rsidRPr="003C1E78">
        <w:rPr>
          <w:color w:val="333333"/>
          <w:sz w:val="28"/>
          <w:szCs w:val="28"/>
          <w:lang w:eastAsia="uk-UA"/>
        </w:rPr>
        <w:t>постійну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комісію</w:t>
      </w:r>
      <w:proofErr w:type="spellEnd"/>
      <w:r w:rsidRPr="003C1E78">
        <w:rPr>
          <w:sz w:val="28"/>
          <w:szCs w:val="28"/>
        </w:rPr>
        <w:t xml:space="preserve"> з </w:t>
      </w:r>
      <w:proofErr w:type="spellStart"/>
      <w:r w:rsidRPr="003C1E78">
        <w:rPr>
          <w:sz w:val="28"/>
          <w:szCs w:val="28"/>
        </w:rPr>
        <w:t>питань</w:t>
      </w:r>
      <w:proofErr w:type="spellEnd"/>
      <w:r w:rsidRPr="003C1E78">
        <w:rPr>
          <w:sz w:val="28"/>
          <w:szCs w:val="28"/>
        </w:rPr>
        <w:t xml:space="preserve"> </w:t>
      </w:r>
      <w:r w:rsidRPr="003C1E78">
        <w:rPr>
          <w:rStyle w:val="normaltextrun"/>
          <w:sz w:val="28"/>
          <w:szCs w:val="28"/>
          <w:lang w:val="uk-UA"/>
        </w:rPr>
        <w:t>прав людини, законності, депутатської діяльності,  етики та регламенту.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333333"/>
          <w:sz w:val="28"/>
          <w:szCs w:val="28"/>
          <w:lang w:eastAsia="uk-UA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> </w:t>
      </w:r>
    </w:p>
    <w:p w:rsidR="00A92E43" w:rsidRPr="003C1E78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  <w:proofErr w:type="spellStart"/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Більшівцівський</w:t>
      </w:r>
      <w:proofErr w:type="spellEnd"/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селищний голова                              Василь </w:t>
      </w:r>
      <w:proofErr w:type="spellStart"/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Саноцький</w:t>
      </w:r>
      <w:proofErr w:type="spellEnd"/>
    </w:p>
    <w:p w:rsidR="00A92E43" w:rsidRPr="003C1E78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Default="00A92E43" w:rsidP="00A92E4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636C10" w:rsidRDefault="00636C10" w:rsidP="00A92E4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636C10" w:rsidRDefault="00636C10" w:rsidP="00A92E4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636C10" w:rsidRPr="003C1E78" w:rsidRDefault="00636C10" w:rsidP="00A92E43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4"/>
          <w:lang w:eastAsia="uk-UA"/>
        </w:rPr>
      </w:pPr>
      <w:r w:rsidRPr="003C1E78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lastRenderedPageBreak/>
        <w:t>Додаток 1</w:t>
      </w:r>
    </w:p>
    <w:p w:rsidR="00A92E43" w:rsidRPr="003C1E78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</w:pPr>
      <w:r w:rsidRPr="003C1E78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 xml:space="preserve">до рішення ІІІ сесії </w:t>
      </w:r>
      <w:r w:rsidRPr="003C1E7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VIІI скликання</w:t>
      </w:r>
      <w:r w:rsidRPr="003C1E7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</w:t>
      </w:r>
    </w:p>
    <w:p w:rsidR="00A92E43" w:rsidRPr="003C1E78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4"/>
          <w:lang w:eastAsia="uk-UA"/>
        </w:rPr>
      </w:pPr>
      <w:r w:rsidRPr="003C1E78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>Більшівцівської селищної ради</w:t>
      </w:r>
    </w:p>
    <w:p w:rsidR="00A92E43" w:rsidRPr="003C1E78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uk-UA"/>
        </w:rPr>
      </w:pPr>
      <w:r w:rsidRPr="003C1E78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>від  16 лютого 2021 р. № 217</w:t>
      </w:r>
    </w:p>
    <w:p w:rsidR="00A92E43" w:rsidRPr="003C1E78" w:rsidRDefault="00A92E43" w:rsidP="00A92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3C1E7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Порядок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виявлення та набуття у комунальну власність Більшівцівської територіальної громади нерухомого майна, відмінного від земельної ділянки, визнаного судом </w:t>
      </w:r>
      <w:proofErr w:type="spellStart"/>
      <w:r w:rsidRPr="003C1E7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спадщиною</w:t>
      </w:r>
    </w:p>
    <w:p w:rsidR="00A92E43" w:rsidRPr="003C1E78" w:rsidRDefault="00A92E43" w:rsidP="00A92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3C1E78" w:rsidRDefault="00A92E43" w:rsidP="00A92E43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Загальні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положення</w:t>
      </w:r>
      <w:proofErr w:type="spellEnd"/>
    </w:p>
    <w:p w:rsidR="00A92E43" w:rsidRPr="003C1E78" w:rsidRDefault="00A92E43" w:rsidP="00A92E43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Порядок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виявлення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набуття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відмінного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земельної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ділянки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судом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далі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– Порядок)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розроблено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відповідно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Цивільного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кодексу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законів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«Про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місцеве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самоврядування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Україні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» та «Про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державну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реєстрацію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речових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прав 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майно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їх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обтяжень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» з метою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врегулювання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виявлення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набуття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відмінного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земельної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ділянки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судом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Для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організації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роботи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виявлення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набуття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відмінного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земельної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ділянки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lang w:eastAsia="uk-UA"/>
        </w:rPr>
        <w:t>визнаного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судом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відумерлою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спадщиною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lang w:eastAsia="uk-UA"/>
        </w:rPr>
        <w:t>рішенням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сесії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створюється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постійно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діюча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з </w:t>
      </w:r>
      <w:proofErr w:type="spellStart"/>
      <w:r w:rsidRPr="003C1E78">
        <w:rPr>
          <w:color w:val="333333"/>
          <w:sz w:val="28"/>
          <w:szCs w:val="28"/>
          <w:lang w:eastAsia="uk-UA"/>
        </w:rPr>
        <w:t>питань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виявлення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lang w:eastAsia="uk-UA"/>
        </w:rPr>
        <w:t>набуття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власність</w:t>
      </w:r>
      <w:proofErr w:type="spellEnd"/>
      <w:proofErr w:type="gramStart"/>
      <w:r w:rsidRPr="003C1E78">
        <w:rPr>
          <w:color w:val="333333"/>
          <w:sz w:val="28"/>
          <w:szCs w:val="28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lang w:eastAsia="uk-UA"/>
        </w:rPr>
        <w:t xml:space="preserve">ільшівцівської </w:t>
      </w:r>
      <w:proofErr w:type="spellStart"/>
      <w:r w:rsidRPr="003C1E78">
        <w:rPr>
          <w:color w:val="333333"/>
          <w:sz w:val="28"/>
          <w:szCs w:val="28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майна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відумерлої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спадщини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(</w:t>
      </w:r>
      <w:proofErr w:type="spellStart"/>
      <w:r w:rsidRPr="003C1E78">
        <w:rPr>
          <w:color w:val="333333"/>
          <w:sz w:val="28"/>
          <w:szCs w:val="28"/>
          <w:lang w:eastAsia="uk-UA"/>
        </w:rPr>
        <w:t>далі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–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Комісія</w:t>
      </w:r>
      <w:proofErr w:type="spellEnd"/>
      <w:r w:rsidRPr="003C1E78">
        <w:rPr>
          <w:color w:val="333333"/>
          <w:sz w:val="28"/>
          <w:szCs w:val="28"/>
          <w:lang w:eastAsia="uk-UA"/>
        </w:rPr>
        <w:t>).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lang w:eastAsia="uk-UA"/>
        </w:rPr>
        <w:t>Комісія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створюється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lang w:eastAsia="uk-UA"/>
        </w:rPr>
        <w:t>складі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не </w:t>
      </w:r>
      <w:proofErr w:type="spellStart"/>
      <w:r w:rsidRPr="003C1E78">
        <w:rPr>
          <w:color w:val="333333"/>
          <w:sz w:val="28"/>
          <w:szCs w:val="28"/>
          <w:lang w:eastAsia="uk-UA"/>
        </w:rPr>
        <w:t>менше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5 </w:t>
      </w:r>
      <w:proofErr w:type="spellStart"/>
      <w:r w:rsidRPr="003C1E78">
        <w:rPr>
          <w:color w:val="333333"/>
          <w:sz w:val="28"/>
          <w:szCs w:val="28"/>
          <w:lang w:eastAsia="uk-UA"/>
        </w:rPr>
        <w:t>осіб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(голова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заступник </w:t>
      </w:r>
      <w:proofErr w:type="spellStart"/>
      <w:r w:rsidRPr="003C1E78">
        <w:rPr>
          <w:color w:val="333333"/>
          <w:sz w:val="28"/>
          <w:szCs w:val="28"/>
          <w:lang w:eastAsia="uk-UA"/>
        </w:rPr>
        <w:t>Голови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lang w:eastAsia="uk-UA"/>
        </w:rPr>
        <w:t>секретар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члени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) </w:t>
      </w:r>
      <w:proofErr w:type="spellStart"/>
      <w:r w:rsidRPr="003C1E78">
        <w:rPr>
          <w:color w:val="333333"/>
          <w:sz w:val="28"/>
          <w:szCs w:val="28"/>
          <w:lang w:eastAsia="uk-UA"/>
        </w:rPr>
        <w:t>із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числа </w:t>
      </w:r>
      <w:proofErr w:type="spellStart"/>
      <w:r w:rsidRPr="003C1E78">
        <w:rPr>
          <w:color w:val="333333"/>
          <w:sz w:val="28"/>
          <w:szCs w:val="28"/>
          <w:lang w:eastAsia="uk-UA"/>
        </w:rPr>
        <w:t>посадових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осіб</w:t>
      </w:r>
      <w:proofErr w:type="spellEnd"/>
      <w:proofErr w:type="gramStart"/>
      <w:r w:rsidRPr="003C1E78">
        <w:rPr>
          <w:color w:val="333333"/>
          <w:sz w:val="28"/>
          <w:szCs w:val="28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lang w:eastAsia="uk-UA"/>
        </w:rPr>
        <w:t xml:space="preserve">ільшівцівської ради, </w:t>
      </w:r>
      <w:proofErr w:type="spellStart"/>
      <w:r w:rsidRPr="003C1E78">
        <w:rPr>
          <w:color w:val="333333"/>
          <w:sz w:val="28"/>
          <w:szCs w:val="28"/>
          <w:lang w:eastAsia="uk-UA"/>
        </w:rPr>
        <w:t>виконавчого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комітету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Більшівцівської ради та </w:t>
      </w:r>
      <w:proofErr w:type="spellStart"/>
      <w:r w:rsidRPr="003C1E78">
        <w:rPr>
          <w:color w:val="333333"/>
          <w:sz w:val="28"/>
          <w:szCs w:val="28"/>
          <w:lang w:eastAsia="uk-UA"/>
        </w:rPr>
        <w:t>депутатів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Більшівцівської ради.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lang w:eastAsia="uk-UA"/>
        </w:rPr>
        <w:t>Координація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lang w:eastAsia="uk-UA"/>
        </w:rPr>
        <w:t>загальне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керівництво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роботою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здійснюється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виконавчим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комітетом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Більшівцівської  </w:t>
      </w:r>
      <w:proofErr w:type="spellStart"/>
      <w:r w:rsidRPr="003C1E78">
        <w:rPr>
          <w:color w:val="333333"/>
          <w:sz w:val="28"/>
          <w:szCs w:val="28"/>
          <w:lang w:eastAsia="uk-UA"/>
        </w:rPr>
        <w:t>селищної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ради шляхом </w:t>
      </w:r>
      <w:proofErr w:type="spellStart"/>
      <w:r w:rsidRPr="003C1E78">
        <w:rPr>
          <w:color w:val="333333"/>
          <w:sz w:val="28"/>
          <w:szCs w:val="28"/>
          <w:lang w:eastAsia="uk-UA"/>
        </w:rPr>
        <w:t>прийняття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відповідних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proofErr w:type="gramStart"/>
      <w:r w:rsidRPr="003C1E78">
        <w:rPr>
          <w:color w:val="333333"/>
          <w:sz w:val="28"/>
          <w:szCs w:val="28"/>
          <w:lang w:eastAsia="uk-UA"/>
        </w:rPr>
        <w:t>р</w:t>
      </w:r>
      <w:proofErr w:type="gramEnd"/>
      <w:r w:rsidRPr="003C1E78">
        <w:rPr>
          <w:color w:val="333333"/>
          <w:sz w:val="28"/>
          <w:szCs w:val="28"/>
          <w:lang w:eastAsia="uk-UA"/>
        </w:rPr>
        <w:t>ішень</w:t>
      </w:r>
      <w:proofErr w:type="spellEnd"/>
      <w:r w:rsidRPr="003C1E78">
        <w:rPr>
          <w:color w:val="333333"/>
          <w:sz w:val="28"/>
          <w:szCs w:val="28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lang w:eastAsia="uk-UA"/>
        </w:rPr>
        <w:t>Комісія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з метою </w:t>
      </w:r>
      <w:proofErr w:type="spellStart"/>
      <w:r w:rsidRPr="003C1E78">
        <w:rPr>
          <w:color w:val="333333"/>
          <w:sz w:val="28"/>
          <w:szCs w:val="28"/>
          <w:lang w:eastAsia="uk-UA"/>
        </w:rPr>
        <w:t>виконання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покладених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gramStart"/>
      <w:r w:rsidRPr="003C1E78">
        <w:rPr>
          <w:color w:val="333333"/>
          <w:sz w:val="28"/>
          <w:szCs w:val="28"/>
          <w:lang w:eastAsia="uk-UA"/>
        </w:rPr>
        <w:t>на</w:t>
      </w:r>
      <w:proofErr w:type="gram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неї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завдань</w:t>
      </w:r>
      <w:proofErr w:type="spellEnd"/>
      <w:r w:rsidRPr="003C1E78">
        <w:rPr>
          <w:color w:val="333333"/>
          <w:sz w:val="28"/>
          <w:szCs w:val="28"/>
          <w:lang w:eastAsia="uk-UA"/>
        </w:rPr>
        <w:t>:</w:t>
      </w:r>
    </w:p>
    <w:p w:rsidR="00A92E43" w:rsidRPr="003C1E78" w:rsidRDefault="00A92E43" w:rsidP="00A92E43">
      <w:pPr>
        <w:pStyle w:val="1"/>
        <w:numPr>
          <w:ilvl w:val="0"/>
          <w:numId w:val="3"/>
        </w:numPr>
        <w:shd w:val="clear" w:color="auto" w:fill="FFFFFF"/>
        <w:ind w:left="0" w:firstLine="567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lang w:eastAsia="uk-UA"/>
        </w:rPr>
        <w:t>здійснює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обстеження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об’єктів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відмінного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земельної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ділянки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за </w:t>
      </w:r>
      <w:proofErr w:type="spellStart"/>
      <w:r w:rsidRPr="003C1E78">
        <w:rPr>
          <w:color w:val="333333"/>
          <w:sz w:val="28"/>
          <w:szCs w:val="28"/>
          <w:lang w:eastAsia="uk-UA"/>
        </w:rPr>
        <w:t>дорученням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виконавчого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комітету</w:t>
      </w:r>
      <w:proofErr w:type="spellEnd"/>
      <w:proofErr w:type="gramStart"/>
      <w:r w:rsidRPr="003C1E78">
        <w:rPr>
          <w:color w:val="333333"/>
          <w:sz w:val="28"/>
          <w:szCs w:val="28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lang w:eastAsia="uk-UA"/>
        </w:rPr>
        <w:t xml:space="preserve">ільшівцівської </w:t>
      </w:r>
      <w:proofErr w:type="spellStart"/>
      <w:r w:rsidRPr="003C1E78">
        <w:rPr>
          <w:color w:val="333333"/>
          <w:sz w:val="28"/>
          <w:szCs w:val="28"/>
          <w:lang w:eastAsia="uk-UA"/>
        </w:rPr>
        <w:t>селищної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ради;</w:t>
      </w:r>
    </w:p>
    <w:p w:rsidR="00A92E43" w:rsidRPr="003C1E78" w:rsidRDefault="00A92E43" w:rsidP="00A92E43">
      <w:pPr>
        <w:pStyle w:val="1"/>
        <w:numPr>
          <w:ilvl w:val="0"/>
          <w:numId w:val="3"/>
        </w:numPr>
        <w:shd w:val="clear" w:color="auto" w:fill="FFFFFF"/>
        <w:ind w:left="0" w:firstLine="567"/>
        <w:rPr>
          <w:color w:val="333333"/>
          <w:sz w:val="28"/>
          <w:szCs w:val="28"/>
          <w:lang w:eastAsia="uk-UA"/>
        </w:rPr>
      </w:pPr>
      <w:r w:rsidRPr="003C1E78">
        <w:rPr>
          <w:color w:val="333333"/>
          <w:sz w:val="28"/>
          <w:szCs w:val="28"/>
          <w:lang w:eastAsia="uk-UA"/>
        </w:rPr>
        <w:t xml:space="preserve">проводить </w:t>
      </w:r>
      <w:proofErr w:type="spellStart"/>
      <w:r w:rsidRPr="003C1E78">
        <w:rPr>
          <w:color w:val="333333"/>
          <w:sz w:val="28"/>
          <w:szCs w:val="28"/>
          <w:lang w:eastAsia="uk-UA"/>
        </w:rPr>
        <w:t>засідання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за результатами </w:t>
      </w:r>
      <w:proofErr w:type="spellStart"/>
      <w:r w:rsidRPr="003C1E78">
        <w:rPr>
          <w:color w:val="333333"/>
          <w:sz w:val="28"/>
          <w:szCs w:val="28"/>
          <w:lang w:eastAsia="uk-UA"/>
        </w:rPr>
        <w:t>яких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складається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Протокол </w:t>
      </w:r>
      <w:proofErr w:type="spellStart"/>
      <w:r w:rsidRPr="003C1E78">
        <w:rPr>
          <w:color w:val="333333"/>
          <w:sz w:val="28"/>
          <w:szCs w:val="28"/>
          <w:lang w:eastAsia="uk-UA"/>
        </w:rPr>
        <w:t>засідання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</w:t>
      </w:r>
      <w:proofErr w:type="spellStart"/>
      <w:proofErr w:type="gramStart"/>
      <w:r w:rsidRPr="003C1E78">
        <w:rPr>
          <w:color w:val="333333"/>
          <w:sz w:val="28"/>
          <w:szCs w:val="28"/>
          <w:lang w:eastAsia="uk-UA"/>
        </w:rPr>
        <w:t>п</w:t>
      </w:r>
      <w:proofErr w:type="gramEnd"/>
      <w:r w:rsidRPr="003C1E78">
        <w:rPr>
          <w:color w:val="333333"/>
          <w:sz w:val="28"/>
          <w:szCs w:val="28"/>
          <w:lang w:eastAsia="uk-UA"/>
        </w:rPr>
        <w:t>ідписаний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головою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(у </w:t>
      </w:r>
      <w:proofErr w:type="spellStart"/>
      <w:r w:rsidRPr="003C1E78">
        <w:rPr>
          <w:color w:val="333333"/>
          <w:sz w:val="28"/>
          <w:szCs w:val="28"/>
          <w:lang w:eastAsia="uk-UA"/>
        </w:rPr>
        <w:t>разі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відсутності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– заступником </w:t>
      </w:r>
      <w:proofErr w:type="spellStart"/>
      <w:r w:rsidRPr="003C1E78">
        <w:rPr>
          <w:color w:val="333333"/>
          <w:sz w:val="28"/>
          <w:szCs w:val="28"/>
          <w:lang w:eastAsia="uk-UA"/>
        </w:rPr>
        <w:t>голови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) та секретарем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>;</w:t>
      </w:r>
    </w:p>
    <w:p w:rsidR="00A92E43" w:rsidRPr="003C1E78" w:rsidRDefault="00A92E43" w:rsidP="00A92E43">
      <w:pPr>
        <w:pStyle w:val="1"/>
        <w:numPr>
          <w:ilvl w:val="0"/>
          <w:numId w:val="3"/>
        </w:numPr>
        <w:shd w:val="clear" w:color="auto" w:fill="FFFFFF"/>
        <w:ind w:left="0" w:firstLine="567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lang w:eastAsia="uk-UA"/>
        </w:rPr>
        <w:t>приймає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proofErr w:type="gramStart"/>
      <w:r w:rsidRPr="003C1E78">
        <w:rPr>
          <w:color w:val="333333"/>
          <w:sz w:val="28"/>
          <w:szCs w:val="28"/>
          <w:lang w:eastAsia="uk-UA"/>
        </w:rPr>
        <w:t>р</w:t>
      </w:r>
      <w:proofErr w:type="gramEnd"/>
      <w:r w:rsidRPr="003C1E78">
        <w:rPr>
          <w:color w:val="333333"/>
          <w:sz w:val="28"/>
          <w:szCs w:val="28"/>
          <w:lang w:eastAsia="uk-UA"/>
        </w:rPr>
        <w:t>ішення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Комісії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lang w:eastAsia="uk-UA"/>
        </w:rPr>
        <w:t>формі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протокольних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рішень</w:t>
      </w:r>
      <w:proofErr w:type="spellEnd"/>
      <w:r w:rsidRPr="003C1E78">
        <w:rPr>
          <w:color w:val="333333"/>
          <w:sz w:val="28"/>
          <w:szCs w:val="28"/>
          <w:lang w:eastAsia="uk-UA"/>
        </w:rPr>
        <w:t>;</w:t>
      </w:r>
    </w:p>
    <w:p w:rsidR="00A92E43" w:rsidRPr="003C1E78" w:rsidRDefault="00A92E43" w:rsidP="00A92E43">
      <w:pPr>
        <w:pStyle w:val="1"/>
        <w:numPr>
          <w:ilvl w:val="0"/>
          <w:numId w:val="3"/>
        </w:numPr>
        <w:shd w:val="clear" w:color="auto" w:fill="FFFFFF"/>
        <w:ind w:left="0" w:firstLine="567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lang w:eastAsia="uk-UA"/>
        </w:rPr>
        <w:t>звітує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про свою роботу на </w:t>
      </w:r>
      <w:proofErr w:type="spellStart"/>
      <w:r w:rsidRPr="003C1E78">
        <w:rPr>
          <w:color w:val="333333"/>
          <w:sz w:val="28"/>
          <w:szCs w:val="28"/>
          <w:lang w:eastAsia="uk-UA"/>
        </w:rPr>
        <w:t>засіданнях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виконавчого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комітету</w:t>
      </w:r>
      <w:proofErr w:type="spellEnd"/>
      <w:proofErr w:type="gramStart"/>
      <w:r w:rsidRPr="003C1E78">
        <w:rPr>
          <w:color w:val="333333"/>
          <w:sz w:val="28"/>
          <w:szCs w:val="28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lang w:eastAsia="uk-UA"/>
        </w:rPr>
        <w:t xml:space="preserve">ільшівцівської </w:t>
      </w:r>
      <w:proofErr w:type="spellStart"/>
      <w:r w:rsidRPr="003C1E78">
        <w:rPr>
          <w:color w:val="333333"/>
          <w:sz w:val="28"/>
          <w:szCs w:val="28"/>
          <w:lang w:eastAsia="uk-UA"/>
        </w:rPr>
        <w:t>селищної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ради.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lang w:eastAsia="uk-UA"/>
        </w:rPr>
        <w:t>Повноваження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з </w:t>
      </w:r>
      <w:proofErr w:type="spellStart"/>
      <w:r w:rsidRPr="003C1E78">
        <w:rPr>
          <w:color w:val="333333"/>
          <w:sz w:val="28"/>
          <w:szCs w:val="28"/>
          <w:lang w:eastAsia="uk-UA"/>
        </w:rPr>
        <w:t>вирішення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питань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lang w:eastAsia="uk-UA"/>
        </w:rPr>
        <w:t>пов’язаних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з </w:t>
      </w:r>
      <w:proofErr w:type="spellStart"/>
      <w:r w:rsidRPr="003C1E78">
        <w:rPr>
          <w:color w:val="333333"/>
          <w:sz w:val="28"/>
          <w:szCs w:val="28"/>
          <w:lang w:eastAsia="uk-UA"/>
        </w:rPr>
        <w:t>виявленням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lang w:eastAsia="uk-UA"/>
        </w:rPr>
        <w:t>обліком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та процедурою </w:t>
      </w:r>
      <w:proofErr w:type="spellStart"/>
      <w:r w:rsidRPr="003C1E78">
        <w:rPr>
          <w:color w:val="333333"/>
          <w:sz w:val="28"/>
          <w:szCs w:val="28"/>
          <w:lang w:eastAsia="uk-UA"/>
        </w:rPr>
        <w:t>набуття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відмінного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земельної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ділянки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lang w:eastAsia="uk-UA"/>
        </w:rPr>
        <w:lastRenderedPageBreak/>
        <w:t>визнаного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судом </w:t>
      </w:r>
      <w:proofErr w:type="spellStart"/>
      <w:r w:rsidRPr="003C1E78">
        <w:rPr>
          <w:color w:val="333333"/>
          <w:sz w:val="28"/>
          <w:szCs w:val="28"/>
          <w:lang w:eastAsia="uk-UA"/>
        </w:rPr>
        <w:t>відумерлою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спадщиною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lang w:eastAsia="uk-UA"/>
        </w:rPr>
        <w:t>покладаються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на </w:t>
      </w:r>
      <w:proofErr w:type="spellStart"/>
      <w:r w:rsidRPr="003C1E78">
        <w:rPr>
          <w:color w:val="333333"/>
          <w:sz w:val="28"/>
          <w:szCs w:val="28"/>
          <w:lang w:eastAsia="uk-UA"/>
        </w:rPr>
        <w:t>виконавчий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lang w:eastAsia="uk-UA"/>
        </w:rPr>
        <w:t>комітет</w:t>
      </w:r>
      <w:proofErr w:type="spellEnd"/>
      <w:r w:rsidRPr="003C1E78">
        <w:rPr>
          <w:color w:val="333333"/>
          <w:sz w:val="28"/>
          <w:szCs w:val="28"/>
          <w:lang w:eastAsia="uk-UA"/>
        </w:rPr>
        <w:t xml:space="preserve">  ради.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цьому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Порядку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використовуються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визначення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терміни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передбачені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Цивільним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кодексом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3C1E78" w:rsidRDefault="00A92E43" w:rsidP="00A92E43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Виявлення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майна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bdr w:val="none" w:sz="0" w:space="0" w:color="auto" w:frame="1"/>
          <w:lang w:eastAsia="uk-UA"/>
        </w:rPr>
      </w:pP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Виконавчий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комітет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ради за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зверненнями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фізичних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юридичних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осіб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ініціативи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(за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наявності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інформації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майно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відмінне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земельної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ділянки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яке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може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бути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визнане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судом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)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приймає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ішення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проведення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обстеження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таких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об’єктів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вжиття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заходів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встановлення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їх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можливих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власників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дає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відповідне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доручення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Комі</w:t>
      </w:r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40"/>
        <w:jc w:val="both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Комісія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строк,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визначений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рішенні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виконавчого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комітету</w:t>
      </w:r>
      <w:proofErr w:type="spellEnd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ради, проводить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обстеження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виявленого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відмінного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земельної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ділянки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за результатами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чого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складає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Акт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обстеження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в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якому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зазначаються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:</w:t>
      </w:r>
    </w:p>
    <w:p w:rsidR="00A92E43" w:rsidRPr="003C1E78" w:rsidRDefault="00A92E43" w:rsidP="00A92E43">
      <w:pPr>
        <w:pStyle w:val="1"/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  <w:lang w:eastAsia="uk-UA"/>
        </w:rPr>
      </w:pPr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адреса </w:t>
      </w: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ісцезнаходження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майна;</w:t>
      </w:r>
    </w:p>
    <w:p w:rsidR="00A92E43" w:rsidRPr="003C1E78" w:rsidRDefault="00A92E43" w:rsidP="00A92E43">
      <w:pPr>
        <w:pStyle w:val="1"/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  <w:bdr w:val="none" w:sz="0" w:space="0" w:color="auto" w:frame="1"/>
          <w:lang w:eastAsia="uk-UA"/>
        </w:rPr>
      </w:pP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стислий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опис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наявного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майна;</w:t>
      </w:r>
    </w:p>
    <w:p w:rsidR="00A92E43" w:rsidRPr="003C1E78" w:rsidRDefault="00A92E43" w:rsidP="00A92E43">
      <w:pPr>
        <w:pStyle w:val="1"/>
        <w:numPr>
          <w:ilvl w:val="0"/>
          <w:numId w:val="2"/>
        </w:numPr>
        <w:shd w:val="clear" w:color="auto" w:fill="FFFFFF"/>
        <w:jc w:val="both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відомості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техн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ічний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стан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можливість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використання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призначенням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;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Акт обстеження нерухомого майна, відмінного від земельної ділянки може містити й інші відомості щодо нерухомого майна та осіб, які можуть бути його спадкоємцями, отримані з доступних джерел, а також інформацію, отриману від мешканців сусідніх домоволодінь.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bdr w:val="none" w:sz="0" w:space="0" w:color="auto" w:frame="1"/>
          <w:lang w:eastAsia="uk-UA"/>
        </w:rPr>
      </w:pP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Об'єкти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відмінного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земельної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ділянки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за результатами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їх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обстеження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включаються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Комісією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Переліку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яке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може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бути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визнане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судом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шляхом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протокольного </w:t>
      </w: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ішення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40"/>
        <w:jc w:val="both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Протягом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5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робочих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днів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з дня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закінчення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строку для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Комісія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готує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подає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запити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Спадкового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реєстру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інформації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заведену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спадкову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справу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видачу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св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ідоцтва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 право 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цього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bdr w:val="none" w:sz="0" w:space="0" w:color="auto" w:frame="1"/>
          <w:lang w:eastAsia="uk-UA"/>
        </w:rPr>
      </w:pP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ісля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отримання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інформації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Спадкового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реєстру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відсутність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заведеної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спадкової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справи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не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видачу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свідоцтва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 право 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Комісія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приймає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рішення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провести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його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технічну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інвентаризацію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Проведення технічної інвентаризації нерухомого майна, яке може бути визнане судом </w:t>
      </w:r>
      <w:proofErr w:type="spellStart"/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спадщиною здійснюється за рахунок місцевого бюджету на підставі рішення виконавчого комітету Більшівцівської селищної ради.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разі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відсутності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спадкоємців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заповітом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і за законом,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усунення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права на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спадкування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неприйняття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ними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спадщини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відмови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Більшівцівська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1E78">
        <w:rPr>
          <w:color w:val="000000"/>
          <w:sz w:val="28"/>
          <w:szCs w:val="28"/>
          <w:shd w:val="clear" w:color="auto" w:fill="FFFFFF"/>
        </w:rPr>
        <w:t>селищна</w:t>
      </w:r>
      <w:proofErr w:type="spellEnd"/>
      <w:r w:rsidRPr="003C1E78">
        <w:rPr>
          <w:color w:val="000000"/>
          <w:sz w:val="28"/>
          <w:szCs w:val="28"/>
          <w:shd w:val="clear" w:color="auto" w:fill="FFFFFF"/>
        </w:rPr>
        <w:t xml:space="preserve"> рада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протягом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15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робочих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днів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ісля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спливу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одного року з часу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відкриття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подає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до суду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позовну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заяву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 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3C1E78" w:rsidRDefault="00A92E43" w:rsidP="00A92E43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визнаного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судом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спадщиною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, у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ісля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набрання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законної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сили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рішенням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суду про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його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передачу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  Більшівцівської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Комісія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готує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розгляд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чергової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сесії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 ради проект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рішення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такого майна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ісля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набуття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чинності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рішенням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ради про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строк,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визначений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рішенні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ради,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уповноважена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це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посадова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особа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здійснює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державну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реєстрацію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права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особі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ради у Державному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реєстрі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речових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прав 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майно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bdr w:val="none" w:sz="0" w:space="0" w:color="auto" w:frame="1"/>
          <w:lang w:eastAsia="uk-UA"/>
        </w:rPr>
      </w:pPr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разі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заявлення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кредиторами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спадкодавця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вимог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відповідно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до ст. 1231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Цивільного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кодексу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Б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ільшівцівська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громада як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власник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відумерлого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задовольняє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ці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вимоги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згідно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вимог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законодавства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Спори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ільшівцівської 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вирішуються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судовому порядку.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3C1E78" w:rsidRDefault="00A92E43" w:rsidP="00A92E43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Розпорядження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нерухомим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майном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відумерлої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спадщини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прийнятим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</w:p>
    <w:p w:rsidR="00A92E43" w:rsidRPr="003C1E78" w:rsidRDefault="00A92E43" w:rsidP="00A92E43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3C1E78" w:rsidRDefault="00A92E43" w:rsidP="00A92E43">
      <w:pPr>
        <w:pStyle w:val="1"/>
        <w:numPr>
          <w:ilvl w:val="1"/>
          <w:numId w:val="1"/>
        </w:numPr>
        <w:ind w:left="0" w:firstLine="567"/>
        <w:jc w:val="both"/>
        <w:rPr>
          <w:color w:val="333333"/>
          <w:sz w:val="28"/>
          <w:szCs w:val="28"/>
          <w:bdr w:val="none" w:sz="0" w:space="0" w:color="auto" w:frame="1"/>
          <w:lang w:eastAsia="uk-UA"/>
        </w:rPr>
      </w:pP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Більшівцівська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 рада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відповідно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до чинного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законодавства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імені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в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інтересах</w:t>
      </w:r>
      <w:proofErr w:type="spellEnd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здійснює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правомочності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володіння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користування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розпорядження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об'єктами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права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в тому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числі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виконує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усі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майнові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операції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може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передавати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об'єкти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права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постійне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або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тимчасове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користування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юридичним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фізичним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особам,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здавати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їх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оренду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продавати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і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купувати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використовувати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як заставу,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вирішувати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питання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їхнього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відчуження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визначати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угодах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договорах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умови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використання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фінансування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об'єктів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приватизуються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передаються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користування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і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оренду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ind w:left="0" w:firstLine="567"/>
        <w:jc w:val="both"/>
        <w:rPr>
          <w:color w:val="333333"/>
          <w:sz w:val="28"/>
          <w:szCs w:val="28"/>
          <w:bdr w:val="none" w:sz="0" w:space="0" w:color="auto" w:frame="1"/>
          <w:lang w:eastAsia="uk-UA"/>
        </w:rPr>
      </w:pPr>
      <w:bookmarkStart w:id="0" w:name="n948"/>
      <w:bookmarkEnd w:id="0"/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Доц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ільність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порядок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умови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відчуження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об'єктів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права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визначаються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радою. Доходи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відчуження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об'єктів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права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зараховуються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місцевого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бюджету і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спрямовуються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фінансування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заходів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передбачених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бюджетом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розвитку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ind w:left="0" w:firstLine="567"/>
        <w:jc w:val="both"/>
        <w:rPr>
          <w:color w:val="333333"/>
          <w:sz w:val="28"/>
          <w:szCs w:val="28"/>
          <w:bdr w:val="none" w:sz="0" w:space="0" w:color="auto" w:frame="1"/>
          <w:lang w:eastAsia="uk-UA"/>
        </w:rPr>
      </w:pPr>
      <w:bookmarkStart w:id="1" w:name="n949"/>
      <w:bookmarkEnd w:id="1"/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Майнові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операції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які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здійснюються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радою з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об'єктами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права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не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повинні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ослаблювати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економічних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основ </w:t>
      </w: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ісцевого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самоврядування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зменшувати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обсяг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погіршувати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умови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надання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послуг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населенню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bookmarkStart w:id="2" w:name="n950"/>
      <w:bookmarkEnd w:id="2"/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здійснює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правочини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володіння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користування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і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розпорядження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нерухомим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майном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визнаним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судом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відумерлою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спадщиною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з дня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державної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реєстрації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права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власності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таке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майно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Питання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подальшого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використання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Більішвцівської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відповідно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цього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Порядку,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вирішується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радою  шляхом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відповідного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ішення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разі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селищною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радою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рішення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щодо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відчуження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нерухомого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майна,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комунальну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власність</w:t>
      </w:r>
      <w:proofErr w:type="spellEnd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Б</w:t>
      </w:r>
      <w:proofErr w:type="gram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ільшівцівської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територіальної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громади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в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обов’язковому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порядку проводиться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незалежна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експертна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оцінка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3C1E78" w:rsidRDefault="00A92E43" w:rsidP="00A92E43">
      <w:pPr>
        <w:pStyle w:val="1"/>
        <w:numPr>
          <w:ilvl w:val="0"/>
          <w:numId w:val="1"/>
        </w:numPr>
        <w:shd w:val="clear" w:color="auto" w:fill="FFFFFF"/>
        <w:jc w:val="center"/>
        <w:rPr>
          <w:color w:val="333333"/>
          <w:sz w:val="28"/>
          <w:szCs w:val="28"/>
          <w:lang w:eastAsia="uk-UA"/>
        </w:rPr>
      </w:pP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Внесення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змін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доповнень</w:t>
      </w:r>
      <w:proofErr w:type="spellEnd"/>
      <w:r w:rsidRPr="003C1E78">
        <w:rPr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до Порядку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3C1E78" w:rsidRDefault="00A92E43" w:rsidP="00A92E43">
      <w:pPr>
        <w:pStyle w:val="1"/>
        <w:numPr>
          <w:ilvl w:val="1"/>
          <w:numId w:val="1"/>
        </w:numPr>
        <w:shd w:val="clear" w:color="auto" w:fill="FFFFFF"/>
        <w:ind w:left="0" w:firstLine="567"/>
        <w:jc w:val="both"/>
        <w:rPr>
          <w:color w:val="333333"/>
          <w:sz w:val="28"/>
          <w:szCs w:val="28"/>
          <w:lang w:eastAsia="uk-UA"/>
        </w:rPr>
      </w:pPr>
      <w:proofErr w:type="spellStart"/>
      <w:proofErr w:type="gram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Внесення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змін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доповнень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цього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Порядку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випадку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законодавчих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актів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в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результаті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яких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може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виникнути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неузгодженість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окремих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його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положень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положеннями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чинного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законодавства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здійснюється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у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такий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самий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спосіб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, як і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його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прийняття</w:t>
      </w:r>
      <w:proofErr w:type="spellEnd"/>
      <w:r w:rsidRPr="003C1E78">
        <w:rPr>
          <w:color w:val="333333"/>
          <w:sz w:val="28"/>
          <w:szCs w:val="28"/>
          <w:bdr w:val="none" w:sz="0" w:space="0" w:color="auto" w:frame="1"/>
          <w:lang w:eastAsia="uk-UA"/>
        </w:rPr>
        <w:t>.</w:t>
      </w:r>
      <w:proofErr w:type="gramEnd"/>
    </w:p>
    <w:p w:rsidR="00A92E43" w:rsidRPr="003C1E78" w:rsidRDefault="00A92E43" w:rsidP="00A92E43">
      <w:pPr>
        <w:shd w:val="clear" w:color="auto" w:fill="FFFFFF"/>
        <w:spacing w:after="0" w:line="240" w:lineRule="auto"/>
        <w:ind w:left="540" w:firstLine="567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lang w:eastAsia="uk-UA"/>
        </w:rPr>
        <w:t> 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left="540" w:firstLine="567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ind w:left="540" w:firstLine="567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       Секретар селищної  ради                                         </w:t>
      </w:r>
      <w:proofErr w:type="spellStart"/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Вітовська</w:t>
      </w:r>
      <w:proofErr w:type="spellEnd"/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 xml:space="preserve"> О.І.</w:t>
      </w: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C10" w:rsidRDefault="00636C10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C10" w:rsidRDefault="00636C10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C10" w:rsidRDefault="00636C10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C10" w:rsidRDefault="00636C10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C10" w:rsidRDefault="00636C10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C10" w:rsidRDefault="00636C10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C10" w:rsidRDefault="00636C10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C10" w:rsidRDefault="00636C10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36C10" w:rsidRPr="003C1E78" w:rsidRDefault="00636C10" w:rsidP="00A92E43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A92E43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</w:pPr>
    </w:p>
    <w:p w:rsidR="00A92E43" w:rsidRPr="002F25DC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4"/>
          <w:lang w:eastAsia="uk-UA"/>
        </w:rPr>
      </w:pPr>
      <w:r w:rsidRPr="002F25DC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>Додаток 2</w:t>
      </w:r>
    </w:p>
    <w:p w:rsidR="00A92E43" w:rsidRPr="002F25DC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</w:pPr>
      <w:r w:rsidRPr="002F25DC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 xml:space="preserve">до рішення ІІІ сесії </w:t>
      </w:r>
      <w:r w:rsidRPr="003C1E7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VI</w:t>
      </w:r>
      <w:r w:rsidRPr="002F25D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І</w:t>
      </w:r>
      <w:r w:rsidRPr="003C1E78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I</w:t>
      </w:r>
      <w:r w:rsidRPr="002F25DC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скликання</w:t>
      </w:r>
      <w:r w:rsidRPr="003C1E7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 </w:t>
      </w:r>
    </w:p>
    <w:p w:rsidR="00A92E43" w:rsidRPr="002F25DC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4"/>
          <w:lang w:eastAsia="uk-UA"/>
        </w:rPr>
      </w:pPr>
      <w:r w:rsidRPr="002F25DC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>Більшівцівської селищної ради</w:t>
      </w:r>
    </w:p>
    <w:p w:rsidR="00A92E43" w:rsidRPr="003C1E78" w:rsidRDefault="00A92E43" w:rsidP="00A92E4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uk-UA"/>
        </w:rPr>
      </w:pPr>
      <w:r w:rsidRPr="002F25DC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>від</w:t>
      </w:r>
      <w:r w:rsidRPr="003C1E78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 w:rsidRPr="002F25DC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 xml:space="preserve"> </w:t>
      </w:r>
      <w:r w:rsidRPr="003C1E78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>16</w:t>
      </w:r>
      <w:r w:rsidRPr="002F25DC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 xml:space="preserve"> лютого 2021 р. №</w:t>
      </w:r>
      <w:r w:rsidRPr="003C1E78">
        <w:rPr>
          <w:rFonts w:ascii="Times New Roman" w:hAnsi="Times New Roman"/>
          <w:b/>
          <w:color w:val="333333"/>
          <w:sz w:val="24"/>
          <w:szCs w:val="24"/>
          <w:bdr w:val="none" w:sz="0" w:space="0" w:color="auto" w:frame="1"/>
          <w:lang w:eastAsia="uk-UA"/>
        </w:rPr>
        <w:t xml:space="preserve"> 217</w:t>
      </w:r>
    </w:p>
    <w:p w:rsidR="00A92E43" w:rsidRPr="002F25DC" w:rsidRDefault="00A92E43" w:rsidP="00A92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  <w:r w:rsidRPr="003C1E78"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  <w:t> </w:t>
      </w:r>
    </w:p>
    <w:p w:rsidR="00A92E43" w:rsidRPr="002F25DC" w:rsidRDefault="00A92E43" w:rsidP="00A92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2F25DC" w:rsidRDefault="00A92E43" w:rsidP="00A92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2F25DC" w:rsidRDefault="00A92E43" w:rsidP="00A92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A92E43" w:rsidRPr="002F25DC" w:rsidRDefault="00A92E43" w:rsidP="00A92E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uk-UA"/>
        </w:rPr>
      </w:pPr>
    </w:p>
    <w:p w:rsidR="00A92E43" w:rsidRPr="002F25DC" w:rsidRDefault="00A92E43" w:rsidP="00A92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Персональний склад постійно діючої комісії 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з питань виявлення, набуття у комунальну власність 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Більшівцівської територіальної громади 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1E78">
        <w:rPr>
          <w:rFonts w:ascii="Times New Roman" w:hAnsi="Times New Roman"/>
          <w:b/>
          <w:sz w:val="28"/>
          <w:szCs w:val="28"/>
        </w:rPr>
        <w:t xml:space="preserve">майна </w:t>
      </w:r>
      <w:proofErr w:type="spellStart"/>
      <w:r w:rsidRPr="003C1E78">
        <w:rPr>
          <w:rFonts w:ascii="Times New Roman" w:hAnsi="Times New Roman"/>
          <w:b/>
          <w:sz w:val="28"/>
          <w:szCs w:val="28"/>
        </w:rPr>
        <w:t>відумерлої</w:t>
      </w:r>
      <w:proofErr w:type="spellEnd"/>
      <w:r w:rsidRPr="003C1E78">
        <w:rPr>
          <w:rFonts w:ascii="Times New Roman" w:hAnsi="Times New Roman"/>
          <w:b/>
          <w:sz w:val="28"/>
          <w:szCs w:val="28"/>
        </w:rPr>
        <w:t xml:space="preserve"> спадщини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> 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Бук Надія Дмитрівна, член виконкому,</w:t>
      </w:r>
    </w:p>
    <w:p w:rsidR="00A92E43" w:rsidRPr="003C1E78" w:rsidRDefault="00A92E43" w:rsidP="00A92E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Волинець Марія Михайлівна, член виконкому,</w:t>
      </w:r>
    </w:p>
    <w:p w:rsidR="00A92E43" w:rsidRPr="000B7B81" w:rsidRDefault="00A92E43" w:rsidP="00A92E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Товста Ганна Романівна,</w:t>
      </w:r>
      <w:r w:rsidRPr="000B7B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 виконкому,</w:t>
      </w:r>
    </w:p>
    <w:p w:rsidR="00A92E43" w:rsidRPr="00E076F6" w:rsidRDefault="00A92E43" w:rsidP="00A92E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Гнатишин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Євгенія</w:t>
      </w:r>
      <w:r w:rsidRPr="003C1E7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член виконкому,</w:t>
      </w:r>
    </w:p>
    <w:p w:rsidR="00A92E43" w:rsidRPr="003C1E78" w:rsidRDefault="00A92E43" w:rsidP="00A92E4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Матейко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Олександра Миколаївна,</w:t>
      </w:r>
      <w:r w:rsidRPr="000B7B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член виконкому.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> </w:t>
      </w: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E78">
        <w:rPr>
          <w:rFonts w:ascii="Times New Roman" w:hAnsi="Times New Roman"/>
          <w:sz w:val="28"/>
          <w:szCs w:val="28"/>
        </w:rPr>
        <w:t xml:space="preserve">Секретар селищної ради                                   </w:t>
      </w:r>
      <w:proofErr w:type="spellStart"/>
      <w:r w:rsidRPr="003C1E78">
        <w:rPr>
          <w:rFonts w:ascii="Times New Roman" w:hAnsi="Times New Roman"/>
          <w:sz w:val="28"/>
          <w:szCs w:val="28"/>
        </w:rPr>
        <w:t>Вітовська</w:t>
      </w:r>
      <w:proofErr w:type="spellEnd"/>
      <w:r w:rsidRPr="003C1E78">
        <w:rPr>
          <w:rFonts w:ascii="Times New Roman" w:hAnsi="Times New Roman"/>
          <w:sz w:val="28"/>
          <w:szCs w:val="28"/>
        </w:rPr>
        <w:t xml:space="preserve"> О.І.</w:t>
      </w: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92E43" w:rsidRPr="003C1E78" w:rsidRDefault="00A92E43" w:rsidP="00A92E4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3723" w:rsidRDefault="00D43723"/>
    <w:sectPr w:rsidR="00D437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5111"/>
    <w:multiLevelType w:val="multilevel"/>
    <w:tmpl w:val="5F60460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42D5BE1"/>
    <w:multiLevelType w:val="hybridMultilevel"/>
    <w:tmpl w:val="26A615D8"/>
    <w:lvl w:ilvl="0" w:tplc="8092F316">
      <w:start w:val="4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831574"/>
    <w:multiLevelType w:val="multilevel"/>
    <w:tmpl w:val="0B2CE56C"/>
    <w:lvl w:ilvl="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1800"/>
      </w:pPr>
      <w:rPr>
        <w:rFonts w:cs="Times New Roman" w:hint="default"/>
      </w:rPr>
    </w:lvl>
  </w:abstractNum>
  <w:abstractNum w:abstractNumId="3">
    <w:nsid w:val="6D5116BF"/>
    <w:multiLevelType w:val="hybridMultilevel"/>
    <w:tmpl w:val="2DCAEC9A"/>
    <w:lvl w:ilvl="0" w:tplc="E17021CE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F"/>
    <w:rsid w:val="00427B9F"/>
    <w:rsid w:val="00636C10"/>
    <w:rsid w:val="00A92E43"/>
    <w:rsid w:val="00D4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2E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A92E43"/>
    <w:rPr>
      <w:rFonts w:ascii="Times New Roman" w:hAnsi="Times New Roman" w:cs="Times New Roman" w:hint="default"/>
    </w:rPr>
  </w:style>
  <w:style w:type="paragraph" w:customStyle="1" w:styleId="1">
    <w:name w:val="Абзац списку1"/>
    <w:basedOn w:val="a"/>
    <w:rsid w:val="00A92E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2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2E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rsid w:val="00A92E43"/>
    <w:rPr>
      <w:rFonts w:ascii="Times New Roman" w:hAnsi="Times New Roman" w:cs="Times New Roman" w:hint="default"/>
    </w:rPr>
  </w:style>
  <w:style w:type="paragraph" w:customStyle="1" w:styleId="1">
    <w:name w:val="Абзац списку1"/>
    <w:basedOn w:val="a"/>
    <w:rsid w:val="00A92E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9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2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7221-2EAF-47D1-B33E-097646A1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6742</Words>
  <Characters>3843</Characters>
  <Application>Microsoft Office Word</Application>
  <DocSecurity>0</DocSecurity>
  <Lines>32</Lines>
  <Paragraphs>21</Paragraphs>
  <ScaleCrop>false</ScaleCrop>
  <Company/>
  <LinksUpToDate>false</LinksUpToDate>
  <CharactersWithSpaces>10564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</dc:creator>
  <cp:keywords/>
  <dc:description/>
  <cp:lastModifiedBy>DiL</cp:lastModifiedBy>
  <cp:revision>3</cp:revision>
  <dcterms:created xsi:type="dcterms:W3CDTF">2021-02-26T08:19:00Z</dcterms:created>
  <dcterms:modified xsi:type="dcterms:W3CDTF">2021-02-27T12:51:00Z</dcterms:modified>
</cp:coreProperties>
</file>