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A" w:rsidRPr="003C1E78" w:rsidRDefault="006362EA" w:rsidP="006362E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EA" w:rsidRPr="003C1E78" w:rsidRDefault="006362EA" w:rsidP="006362E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6362EA" w:rsidRPr="003C1E78" w:rsidRDefault="006362EA" w:rsidP="006362E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2EA" w:rsidRPr="003C1E78" w:rsidRDefault="006362EA" w:rsidP="006362EA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213</w:t>
      </w:r>
    </w:p>
    <w:p w:rsidR="006362EA" w:rsidRPr="003C1E78" w:rsidRDefault="006362EA" w:rsidP="006362E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                                                                    «Поліцейський офіцер громади»                                                                   Більшівцівської селищної   ради на 2021 рік </w:t>
      </w:r>
    </w:p>
    <w:p w:rsidR="006362EA" w:rsidRPr="003C1E78" w:rsidRDefault="006362EA" w:rsidP="006362E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6362EA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З метою запобігання та припинення адміністративних правопорушень і злочинів, захист життя та здоров’я громадян, інтересів суспільства і держави від протиправних посягань, з метою реалізації проекту Національної поліції України «Поліцейський офіцер громади», керуючись ст. 26 Закону України «Про місцеве самоврядування в Україні», селищна рада </w:t>
      </w:r>
      <w:r w:rsidRPr="006362E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C1E78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» </w:t>
      </w:r>
      <w:r w:rsidRPr="003C1E78">
        <w:rPr>
          <w:rFonts w:ascii="Times New Roman" w:hAnsi="Times New Roman"/>
          <w:sz w:val="28"/>
          <w:szCs w:val="28"/>
          <w:lang w:val="uk-UA"/>
        </w:rPr>
        <w:t>Більшівцівської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3C1E78">
        <w:rPr>
          <w:rFonts w:ascii="Times New Roman" w:hAnsi="Times New Roman"/>
          <w:sz w:val="28"/>
          <w:szCs w:val="28"/>
        </w:rPr>
        <w:t xml:space="preserve"> ради на </w:t>
      </w:r>
      <w:r w:rsidRPr="003C1E78">
        <w:rPr>
          <w:rFonts w:ascii="Times New Roman" w:hAnsi="Times New Roman"/>
          <w:sz w:val="28"/>
          <w:szCs w:val="28"/>
          <w:lang w:val="uk-UA"/>
        </w:rPr>
        <w:t>2021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78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3C1E78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3C1E78">
        <w:rPr>
          <w:rFonts w:ascii="Times New Roman" w:hAnsi="Times New Roman"/>
          <w:sz w:val="28"/>
          <w:szCs w:val="28"/>
        </w:rPr>
        <w:t>одається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).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2. Дане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sz w:val="28"/>
          <w:szCs w:val="28"/>
        </w:rPr>
        <w:t>ішення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довести до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відома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даного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sz w:val="28"/>
          <w:szCs w:val="28"/>
        </w:rPr>
        <w:t>ішення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з  питань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C1E78">
        <w:rPr>
          <w:rFonts w:ascii="Times New Roman" w:hAnsi="Times New Roman"/>
          <w:sz w:val="28"/>
          <w:szCs w:val="28"/>
        </w:rPr>
        <w:t>, бюджету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селищний </w:t>
      </w:r>
      <w:r w:rsidRPr="003C1E78">
        <w:rPr>
          <w:rFonts w:ascii="Times New Roman" w:hAnsi="Times New Roman"/>
          <w:sz w:val="28"/>
          <w:szCs w:val="28"/>
        </w:rPr>
        <w:t xml:space="preserve"> голова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Василь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                                                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>ЗАТВЕРДЖЕНО:</w:t>
      </w:r>
    </w:p>
    <w:p w:rsidR="006362EA" w:rsidRPr="003C1E78" w:rsidRDefault="006362EA" w:rsidP="006362E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4"/>
          <w:szCs w:val="24"/>
          <w:lang w:val="uk-UA"/>
        </w:rPr>
        <w:t>рішенням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ІІІ сесії </w:t>
      </w:r>
      <w:r w:rsidRPr="003C1E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>ІІІ скликання                                                                                        Більшівцівської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селищної  ради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>від 16 лютого  2021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213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</w:p>
    <w:p w:rsidR="006362EA" w:rsidRDefault="006362EA" w:rsidP="006362EA">
      <w:pPr>
        <w:tabs>
          <w:tab w:val="left" w:pos="691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tabs>
          <w:tab w:val="left" w:pos="691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>»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Більшівцівської  селищної  ради  на  2021 </w:t>
      </w:r>
      <w:proofErr w:type="gramStart"/>
      <w:r w:rsidRPr="003C1E78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1. Загальні положення та визначення проблеми, на розв’язання якої вона спрямована Програма «Поліцейський офіцер громади» Більшівцівської  селищної ради (надалі - Програма) розроблена відповідно до Законів України «Про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громади». Метою проекту є тісна взаємодія поліцейського з  територіальною громадою та орієнтація на її потреби. Впроваджується новий формат роботи дільничного офіцера поліції, який передбачає його постійну присутність на території  ТГ, більш тісну співпрацю з населенням та керівництвом ТГ, підзвітність ТГ та додаткові функції (більший акцент на попередженні правопорушень, оформлення адміністративних матеріалів за порушення ПДР, часткова передача функцій дозвільної системи). В Програмі передбачено комплекс заходів, що здійснюються на місцевому рівні з метою підтримки діяльності поліцейський офіцер громади Більшівцівської  селищної   ради. Поліцейський офіцер громади - це співробітник Національної поліції, який отримує заробітну плату, має право на соціальні гарантії та пільги, як і решта поліцейських.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Кр</w:t>
      </w:r>
      <w:proofErr w:type="gramEnd"/>
      <w:r w:rsidRPr="003C1E78">
        <w:rPr>
          <w:rFonts w:ascii="Times New Roman" w:hAnsi="Times New Roman"/>
          <w:sz w:val="28"/>
          <w:szCs w:val="28"/>
        </w:rPr>
        <w:t>ім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3C1E78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його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одностроєм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табельною </w:t>
      </w:r>
      <w:proofErr w:type="spellStart"/>
      <w:r w:rsidRPr="003C1E78">
        <w:rPr>
          <w:rFonts w:ascii="Times New Roman" w:hAnsi="Times New Roman"/>
          <w:sz w:val="28"/>
          <w:szCs w:val="28"/>
        </w:rPr>
        <w:t>зброєю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нагрудною камерою та планшетом. У </w:t>
      </w:r>
      <w:proofErr w:type="gramStart"/>
      <w:r w:rsidRPr="003C1E78">
        <w:rPr>
          <w:rFonts w:ascii="Times New Roman" w:hAnsi="Times New Roman"/>
          <w:sz w:val="28"/>
          <w:szCs w:val="28"/>
        </w:rPr>
        <w:t>рамках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3C1E78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обладнаним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автомобілем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орієнтований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3C1E78">
        <w:rPr>
          <w:rFonts w:ascii="Times New Roman" w:hAnsi="Times New Roman"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саме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своєї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1E78">
        <w:rPr>
          <w:rFonts w:ascii="Times New Roman" w:hAnsi="Times New Roman"/>
          <w:sz w:val="28"/>
          <w:szCs w:val="28"/>
        </w:rPr>
        <w:t>муніципальний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він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E78">
        <w:rPr>
          <w:rFonts w:ascii="Times New Roman" w:hAnsi="Times New Roman"/>
          <w:sz w:val="28"/>
          <w:szCs w:val="28"/>
        </w:rPr>
        <w:t>штаті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який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контролює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законність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р</w:t>
      </w:r>
      <w:proofErr w:type="gramEnd"/>
      <w:r w:rsidRPr="003C1E78">
        <w:rPr>
          <w:rFonts w:ascii="Times New Roman" w:hAnsi="Times New Roman"/>
          <w:sz w:val="28"/>
          <w:szCs w:val="28"/>
        </w:rPr>
        <w:t>ішень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Водночас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він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</w:t>
      </w:r>
      <w:proofErr w:type="gramEnd"/>
      <w:r w:rsidRPr="003C1E78">
        <w:rPr>
          <w:rFonts w:ascii="Times New Roman" w:hAnsi="Times New Roman"/>
          <w:sz w:val="28"/>
          <w:szCs w:val="28"/>
        </w:rPr>
        <w:t>ідзвітний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її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Для </w:t>
      </w:r>
      <w:r w:rsidRPr="003C1E7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C1E78">
        <w:rPr>
          <w:rFonts w:ascii="Times New Roman" w:hAnsi="Times New Roman"/>
          <w:sz w:val="28"/>
          <w:szCs w:val="28"/>
        </w:rPr>
        <w:t>остійної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присутності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C1E78">
        <w:rPr>
          <w:rFonts w:ascii="Times New Roman" w:hAnsi="Times New Roman"/>
          <w:sz w:val="28"/>
          <w:szCs w:val="28"/>
        </w:rPr>
        <w:t xml:space="preserve">ТГ </w:t>
      </w:r>
      <w:proofErr w:type="spellStart"/>
      <w:r w:rsidRPr="003C1E78">
        <w:rPr>
          <w:rFonts w:ascii="Times New Roman" w:hAnsi="Times New Roman"/>
          <w:sz w:val="28"/>
          <w:szCs w:val="28"/>
        </w:rPr>
        <w:t>облаштоване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службове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що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3C1E7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ільшівці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 Стрілецька,6</w:t>
      </w:r>
      <w:r w:rsidRPr="003C1E78">
        <w:rPr>
          <w:rFonts w:ascii="Times New Roman" w:hAnsi="Times New Roman"/>
          <w:sz w:val="28"/>
          <w:szCs w:val="28"/>
          <w:lang w:val="uk-UA"/>
        </w:rPr>
        <w:t>. 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громадськості для забезпечення охорони громадського порядку та профілактики злочинності.</w:t>
      </w:r>
    </w:p>
    <w:p w:rsidR="006362EA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</w:rPr>
        <w:lastRenderedPageBreak/>
        <w:t xml:space="preserve">2. Мета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C1E78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E78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життя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E7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протиправних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посягань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</w:t>
      </w:r>
      <w:proofErr w:type="gramEnd"/>
      <w:r w:rsidRPr="003C1E78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 w:rsidRPr="003C1E7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населенням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справ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спрямоване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рівня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правопорядку в </w:t>
      </w:r>
      <w:proofErr w:type="spellStart"/>
      <w:r w:rsidRPr="003C1E78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пунктах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життя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честі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E78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профілактичну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роботу по </w:t>
      </w:r>
      <w:proofErr w:type="spellStart"/>
      <w:r w:rsidRPr="003C1E78">
        <w:rPr>
          <w:rFonts w:ascii="Times New Roman" w:hAnsi="Times New Roman"/>
          <w:sz w:val="28"/>
          <w:szCs w:val="28"/>
        </w:rPr>
        <w:t>попередженню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комплексного </w:t>
      </w:r>
      <w:proofErr w:type="spellStart"/>
      <w:r w:rsidRPr="003C1E78">
        <w:rPr>
          <w:rFonts w:ascii="Times New Roman" w:hAnsi="Times New Roman"/>
          <w:sz w:val="28"/>
          <w:szCs w:val="28"/>
        </w:rPr>
        <w:t>підходу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1E78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3C1E78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та заходи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Серед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Pr="003C1E78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громадою; - </w:t>
      </w:r>
      <w:proofErr w:type="spellStart"/>
      <w:r w:rsidRPr="003C1E78">
        <w:rPr>
          <w:rFonts w:ascii="Times New Roman" w:hAnsi="Times New Roman"/>
          <w:sz w:val="28"/>
          <w:szCs w:val="28"/>
        </w:rPr>
        <w:t>інтеграція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1E78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3C1E78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безпекових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; - </w:t>
      </w:r>
      <w:proofErr w:type="spellStart"/>
      <w:r w:rsidRPr="003C1E78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консолідоване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локальних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C1E78">
        <w:rPr>
          <w:rFonts w:ascii="Times New Roman" w:hAnsi="Times New Roman"/>
          <w:sz w:val="28"/>
          <w:szCs w:val="28"/>
        </w:rPr>
        <w:t>їх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3C1E7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1. Забезпечення комп’ютерною технікою та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інтернетом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2</w:t>
      </w:r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паливно-мастильних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матер</w:t>
      </w:r>
      <w:proofErr w:type="gramEnd"/>
      <w:r w:rsidRPr="003C1E78">
        <w:rPr>
          <w:rFonts w:ascii="Times New Roman" w:hAnsi="Times New Roman"/>
          <w:sz w:val="28"/>
          <w:szCs w:val="28"/>
        </w:rPr>
        <w:t>іалів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1E78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автотранспорту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офіцерів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3</w:t>
      </w:r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Техн</w:t>
      </w:r>
      <w:proofErr w:type="gramEnd"/>
      <w:r w:rsidRPr="003C1E78">
        <w:rPr>
          <w:rFonts w:ascii="Times New Roman" w:hAnsi="Times New Roman"/>
          <w:sz w:val="28"/>
          <w:szCs w:val="28"/>
        </w:rPr>
        <w:t>ічне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після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завершення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гарантійного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періоду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Спільна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протидію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негативним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явищам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Громада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повідомляє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поліцейських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офіцерів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E78">
        <w:rPr>
          <w:rFonts w:ascii="Times New Roman" w:hAnsi="Times New Roman"/>
          <w:sz w:val="28"/>
          <w:szCs w:val="28"/>
        </w:rPr>
        <w:t>сфері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сприя</w:t>
      </w:r>
      <w:proofErr w:type="gramStart"/>
      <w:r w:rsidRPr="003C1E78">
        <w:rPr>
          <w:rFonts w:ascii="Times New Roman" w:hAnsi="Times New Roman"/>
          <w:sz w:val="28"/>
          <w:szCs w:val="28"/>
        </w:rPr>
        <w:t>є</w:t>
      </w:r>
      <w:proofErr w:type="spellEnd"/>
      <w:r w:rsidRPr="003C1E78">
        <w:rPr>
          <w:rFonts w:ascii="Times New Roman" w:hAnsi="Times New Roman"/>
          <w:sz w:val="28"/>
          <w:szCs w:val="28"/>
        </w:rPr>
        <w:t>:</w:t>
      </w:r>
      <w:proofErr w:type="gram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попередженню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3C1E7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таких умов, </w:t>
      </w:r>
      <w:proofErr w:type="spellStart"/>
      <w:r w:rsidRPr="003C1E78">
        <w:rPr>
          <w:rFonts w:ascii="Times New Roman" w:hAnsi="Times New Roman"/>
          <w:sz w:val="28"/>
          <w:szCs w:val="28"/>
        </w:rPr>
        <w:t>які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C1E78">
        <w:rPr>
          <w:rFonts w:ascii="Times New Roman" w:hAnsi="Times New Roman"/>
          <w:sz w:val="28"/>
          <w:szCs w:val="28"/>
        </w:rPr>
        <w:t>некомфортними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небезпечними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правопорушникі</w:t>
      </w:r>
      <w:proofErr w:type="gramStart"/>
      <w:r w:rsidRPr="003C1E7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C1E78">
        <w:rPr>
          <w:rFonts w:ascii="Times New Roman" w:hAnsi="Times New Roman"/>
          <w:sz w:val="28"/>
          <w:szCs w:val="28"/>
        </w:rPr>
        <w:t xml:space="preserve">;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C1E78">
        <w:rPr>
          <w:rFonts w:ascii="Times New Roman" w:hAnsi="Times New Roman"/>
          <w:sz w:val="28"/>
          <w:szCs w:val="28"/>
        </w:rPr>
        <w:t>застосуванню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1E78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;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C1E78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78">
        <w:rPr>
          <w:rFonts w:ascii="Times New Roman" w:hAnsi="Times New Roman"/>
          <w:sz w:val="28"/>
          <w:szCs w:val="28"/>
        </w:rPr>
        <w:t>в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C1E78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руху</w:t>
      </w:r>
      <w:proofErr w:type="spellEnd"/>
      <w:r w:rsidRPr="003C1E78">
        <w:rPr>
          <w:rFonts w:ascii="Times New Roman" w:hAnsi="Times New Roman"/>
          <w:sz w:val="28"/>
          <w:szCs w:val="28"/>
        </w:rPr>
        <w:t>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допомозі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людям </w:t>
      </w:r>
      <w:proofErr w:type="spellStart"/>
      <w:r w:rsidRPr="003C1E78">
        <w:rPr>
          <w:rFonts w:ascii="Times New Roman" w:hAnsi="Times New Roman"/>
          <w:sz w:val="28"/>
          <w:szCs w:val="28"/>
        </w:rPr>
        <w:t>похилого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ві</w:t>
      </w:r>
      <w:proofErr w:type="gramStart"/>
      <w:r w:rsidRPr="003C1E78">
        <w:rPr>
          <w:rFonts w:ascii="Times New Roman" w:hAnsi="Times New Roman"/>
          <w:sz w:val="28"/>
          <w:szCs w:val="28"/>
        </w:rPr>
        <w:t>ку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попередженню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них; - </w:t>
      </w:r>
      <w:proofErr w:type="spellStart"/>
      <w:r w:rsidRPr="003C1E78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патрулювання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sz w:val="28"/>
          <w:szCs w:val="28"/>
        </w:rPr>
        <w:t>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негативним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соц</w:t>
      </w:r>
      <w:proofErr w:type="gramEnd"/>
      <w:r w:rsidRPr="003C1E78">
        <w:rPr>
          <w:rFonts w:ascii="Times New Roman" w:hAnsi="Times New Roman"/>
          <w:sz w:val="28"/>
          <w:szCs w:val="28"/>
        </w:rPr>
        <w:t>іальним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явищам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1E78">
        <w:rPr>
          <w:rFonts w:ascii="Times New Roman" w:hAnsi="Times New Roman"/>
          <w:sz w:val="28"/>
          <w:szCs w:val="28"/>
        </w:rPr>
        <w:t>алкоголізм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наркоманія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);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C1E78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78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3C1E78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3C1E78">
        <w:rPr>
          <w:rFonts w:ascii="Times New Roman" w:hAnsi="Times New Roman"/>
          <w:sz w:val="28"/>
          <w:szCs w:val="28"/>
        </w:rPr>
        <w:t>життя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;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проф</w:t>
      </w:r>
      <w:proofErr w:type="gramEnd"/>
      <w:r w:rsidRPr="003C1E78">
        <w:rPr>
          <w:rFonts w:ascii="Times New Roman" w:hAnsi="Times New Roman"/>
          <w:sz w:val="28"/>
          <w:szCs w:val="28"/>
        </w:rPr>
        <w:t>ілактиці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E78">
        <w:rPr>
          <w:rFonts w:ascii="Times New Roman" w:hAnsi="Times New Roman"/>
          <w:sz w:val="28"/>
          <w:szCs w:val="28"/>
        </w:rPr>
        <w:t>сфері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благоустрою;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правовій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освіті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дітей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3C1E78">
        <w:rPr>
          <w:rFonts w:ascii="Times New Roman" w:hAnsi="Times New Roman"/>
          <w:sz w:val="28"/>
          <w:szCs w:val="28"/>
        </w:rPr>
        <w:t>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жорстокому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поводженню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тваринами</w:t>
      </w:r>
      <w:proofErr w:type="spellEnd"/>
      <w:r w:rsidRPr="003C1E78">
        <w:rPr>
          <w:rFonts w:ascii="Times New Roman" w:hAnsi="Times New Roman"/>
          <w:sz w:val="28"/>
          <w:szCs w:val="28"/>
        </w:rPr>
        <w:t>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розшуку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зниклих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дітей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які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заблукали</w:t>
      </w:r>
      <w:proofErr w:type="spellEnd"/>
      <w:r w:rsidRPr="003C1E78">
        <w:rPr>
          <w:rFonts w:ascii="Times New Roman" w:hAnsi="Times New Roman"/>
          <w:sz w:val="28"/>
          <w:szCs w:val="28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C1E7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коштів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бюджету</w:t>
      </w:r>
      <w:proofErr w:type="gramStart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  <w:lang w:val="uk-UA"/>
        </w:rPr>
        <w:t>ільшівцівськох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селищної ради</w:t>
      </w:r>
      <w:r w:rsidRPr="003C1E78">
        <w:rPr>
          <w:rFonts w:ascii="Times New Roman" w:hAnsi="Times New Roman"/>
          <w:sz w:val="28"/>
          <w:szCs w:val="28"/>
        </w:rPr>
        <w:t xml:space="preserve"> та в межах </w:t>
      </w:r>
      <w:proofErr w:type="spellStart"/>
      <w:r w:rsidRPr="003C1E78">
        <w:rPr>
          <w:rFonts w:ascii="Times New Roman" w:hAnsi="Times New Roman"/>
          <w:sz w:val="28"/>
          <w:szCs w:val="28"/>
        </w:rPr>
        <w:t>коштів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її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3C1E78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Обсяг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202</w:t>
      </w:r>
      <w:r w:rsidRPr="003C1E78">
        <w:rPr>
          <w:rFonts w:ascii="Times New Roman" w:hAnsi="Times New Roman"/>
          <w:sz w:val="28"/>
          <w:szCs w:val="28"/>
          <w:lang w:val="uk-UA"/>
        </w:rPr>
        <w:t>1</w:t>
      </w:r>
      <w:r w:rsidRPr="003C1E78">
        <w:rPr>
          <w:rFonts w:ascii="Times New Roman" w:hAnsi="Times New Roman"/>
          <w:sz w:val="28"/>
          <w:szCs w:val="28"/>
        </w:rPr>
        <w:t xml:space="preserve"> рок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селищного </w:t>
      </w:r>
      <w:r w:rsidRPr="003C1E78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3C1E78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1E78">
        <w:rPr>
          <w:rFonts w:ascii="Times New Roman" w:hAnsi="Times New Roman"/>
          <w:sz w:val="28"/>
          <w:szCs w:val="28"/>
        </w:rPr>
        <w:t>його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Очікувані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дасть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змогу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: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>- 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Більшівцівської територіальної громади; - активізувати участь широких верств населення у правоохоронній діяльності;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- забезпечити належну матеріально-технічну і фінансову підтримку діяльності поліцейських офіцерів громади, які здійснюють діяльність на території Більшівцівської селищної ради;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</w:t>
      </w:r>
      <w:proofErr w:type="gramEnd"/>
      <w:r w:rsidRPr="003C1E78">
        <w:rPr>
          <w:rFonts w:ascii="Times New Roman" w:hAnsi="Times New Roman"/>
          <w:sz w:val="28"/>
          <w:szCs w:val="28"/>
        </w:rPr>
        <w:t>ідвищити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справ;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поліпшити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стан правопорядку в </w:t>
      </w:r>
      <w:proofErr w:type="spellStart"/>
      <w:r w:rsidRPr="003C1E78">
        <w:rPr>
          <w:rFonts w:ascii="Times New Roman" w:hAnsi="Times New Roman"/>
          <w:sz w:val="28"/>
          <w:szCs w:val="28"/>
        </w:rPr>
        <w:t>усіх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пунктах </w:t>
      </w:r>
      <w:r w:rsidRPr="003C1E78">
        <w:rPr>
          <w:rFonts w:ascii="Times New Roman" w:hAnsi="Times New Roman"/>
          <w:sz w:val="28"/>
          <w:szCs w:val="28"/>
          <w:lang w:val="uk-UA"/>
        </w:rPr>
        <w:t>громади</w:t>
      </w:r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додаткові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умови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1E7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проф</w:t>
      </w:r>
      <w:proofErr w:type="gramEnd"/>
      <w:r w:rsidRPr="003C1E78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3C1E78">
        <w:rPr>
          <w:rFonts w:ascii="Times New Roman" w:hAnsi="Times New Roman"/>
          <w:sz w:val="28"/>
          <w:szCs w:val="28"/>
        </w:rPr>
        <w:t>;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мінімізувати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злочинний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вплив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молодь та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п</w:t>
      </w:r>
      <w:proofErr w:type="gramEnd"/>
      <w:r w:rsidRPr="003C1E78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усунути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причини та </w:t>
      </w:r>
      <w:proofErr w:type="spellStart"/>
      <w:r w:rsidRPr="003C1E78">
        <w:rPr>
          <w:rFonts w:ascii="Times New Roman" w:hAnsi="Times New Roman"/>
          <w:sz w:val="28"/>
          <w:szCs w:val="28"/>
        </w:rPr>
        <w:t>умови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що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втягненню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їх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протиправну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C1E78">
        <w:rPr>
          <w:rFonts w:ascii="Times New Roman" w:hAnsi="Times New Roman"/>
          <w:sz w:val="28"/>
          <w:szCs w:val="28"/>
        </w:rPr>
        <w:t>.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6. Організація управління та контролю Програми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Організаційний супровід, координація та контроль діяльності щодо виконання Програми здійснюється Головним управлінням Національної поліції у Івано-Франківській  області та постійною комісією селищної  ради з питань планування, фінансів, бюджету та соціально-економічного розвитку 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sz w:val="28"/>
          <w:szCs w:val="28"/>
        </w:rPr>
        <w:lastRenderedPageBreak/>
        <w:t>Основні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форми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3C1E78">
        <w:rPr>
          <w:rFonts w:ascii="Times New Roman" w:hAnsi="Times New Roman"/>
          <w:sz w:val="28"/>
          <w:szCs w:val="28"/>
        </w:rPr>
        <w:t>реалізацією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>:</w:t>
      </w:r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узагальненої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1E78">
        <w:rPr>
          <w:rFonts w:ascii="Times New Roman" w:hAnsi="Times New Roman"/>
          <w:sz w:val="28"/>
          <w:szCs w:val="28"/>
        </w:rPr>
        <w:t>хід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керівництву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3C1E78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постійній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3C1E78">
        <w:rPr>
          <w:rFonts w:ascii="Times New Roman" w:hAnsi="Times New Roman"/>
          <w:sz w:val="28"/>
          <w:szCs w:val="28"/>
        </w:rPr>
        <w:t xml:space="preserve"> ради з </w:t>
      </w:r>
      <w:r w:rsidRPr="003C1E78">
        <w:rPr>
          <w:rFonts w:ascii="Times New Roman" w:hAnsi="Times New Roman"/>
          <w:sz w:val="28"/>
          <w:szCs w:val="28"/>
          <w:lang w:val="uk-UA"/>
        </w:rPr>
        <w:t>питань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3C1E78">
        <w:rPr>
          <w:rFonts w:ascii="Times New Roman" w:hAnsi="Times New Roman"/>
          <w:sz w:val="28"/>
          <w:szCs w:val="28"/>
        </w:rPr>
        <w:t>, бюджету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соц</w:t>
      </w:r>
      <w:proofErr w:type="gramEnd"/>
      <w:r w:rsidRPr="003C1E78"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6362EA" w:rsidRPr="003C1E78" w:rsidRDefault="006362EA" w:rsidP="006362E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E78">
        <w:rPr>
          <w:rFonts w:ascii="Times New Roman" w:hAnsi="Times New Roman"/>
          <w:sz w:val="28"/>
          <w:szCs w:val="28"/>
        </w:rPr>
        <w:t>разі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змін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терміну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відповідальний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готує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E78">
        <w:rPr>
          <w:rFonts w:ascii="Times New Roman" w:hAnsi="Times New Roman"/>
          <w:sz w:val="28"/>
          <w:szCs w:val="28"/>
        </w:rPr>
        <w:t>подає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їх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E78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сес</w:t>
      </w:r>
      <w:proofErr w:type="gramStart"/>
      <w:r w:rsidRPr="003C1E78">
        <w:rPr>
          <w:rFonts w:ascii="Times New Roman" w:hAnsi="Times New Roman"/>
          <w:sz w:val="28"/>
          <w:szCs w:val="28"/>
        </w:rPr>
        <w:t>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  <w:lang w:val="uk-UA"/>
        </w:rPr>
        <w:t xml:space="preserve">ільшівцівської селищної </w:t>
      </w:r>
      <w:r w:rsidRPr="003C1E78">
        <w:rPr>
          <w:rFonts w:ascii="Times New Roman" w:hAnsi="Times New Roman"/>
          <w:sz w:val="28"/>
          <w:szCs w:val="28"/>
        </w:rPr>
        <w:t xml:space="preserve"> ради. </w:t>
      </w:r>
      <w:proofErr w:type="spellStart"/>
      <w:r w:rsidRPr="003C1E78">
        <w:rPr>
          <w:rFonts w:ascii="Times New Roman" w:hAnsi="Times New Roman"/>
          <w:sz w:val="28"/>
          <w:szCs w:val="28"/>
        </w:rPr>
        <w:t>Відповідальний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інформує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/>
        </w:rPr>
        <w:t>селищну</w:t>
      </w:r>
      <w:r w:rsidRPr="003C1E78">
        <w:rPr>
          <w:rFonts w:ascii="Times New Roman" w:hAnsi="Times New Roman"/>
          <w:sz w:val="28"/>
          <w:szCs w:val="28"/>
        </w:rPr>
        <w:t xml:space="preserve"> раду про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E78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щодо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даної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sz w:val="28"/>
          <w:szCs w:val="28"/>
        </w:rPr>
        <w:t>.</w:t>
      </w: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tabs>
          <w:tab w:val="left" w:pos="669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Секретар 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3C1E78">
        <w:rPr>
          <w:rFonts w:ascii="Times New Roman" w:hAnsi="Times New Roman"/>
          <w:sz w:val="28"/>
          <w:szCs w:val="28"/>
          <w:lang w:val="uk-UA"/>
        </w:rPr>
        <w:t>ради</w:t>
      </w:r>
      <w:r w:rsidRPr="003C1E78">
        <w:rPr>
          <w:rFonts w:ascii="Times New Roman" w:hAnsi="Times New Roman"/>
          <w:sz w:val="28"/>
          <w:szCs w:val="28"/>
          <w:lang w:val="uk-UA"/>
        </w:rPr>
        <w:tab/>
        <w:t>О.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Вітовська</w:t>
      </w:r>
      <w:proofErr w:type="spellEnd"/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»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Більшівцівської селищної </w:t>
      </w:r>
      <w:r w:rsidRPr="003C1E78">
        <w:rPr>
          <w:rFonts w:ascii="Times New Roman" w:hAnsi="Times New Roman"/>
          <w:b/>
          <w:sz w:val="28"/>
          <w:szCs w:val="28"/>
        </w:rPr>
        <w:t xml:space="preserve"> ради на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1E78">
        <w:rPr>
          <w:rFonts w:ascii="Times New Roman" w:hAnsi="Times New Roman"/>
          <w:b/>
          <w:sz w:val="28"/>
          <w:szCs w:val="28"/>
        </w:rPr>
        <w:t>р</w:t>
      </w:r>
      <w:proofErr w:type="spellStart"/>
      <w:proofErr w:type="gramEnd"/>
      <w:r w:rsidRPr="003C1E78">
        <w:rPr>
          <w:rFonts w:ascii="Times New Roman" w:hAnsi="Times New Roman"/>
          <w:b/>
          <w:sz w:val="28"/>
          <w:szCs w:val="28"/>
          <w:lang w:val="uk-UA"/>
        </w:rPr>
        <w:t>ік</w:t>
      </w:r>
      <w:proofErr w:type="spellEnd"/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4110"/>
      </w:tblGrid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 xml:space="preserve">Головне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поліції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в  Івано-Франківській  області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 xml:space="preserve">Дата, номер і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розпорядчого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документа органу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Більшівцівська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селищна  рада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Більшівцівська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селищна  рада</w:t>
            </w:r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Головне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поліції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в  Івано-Франківській  області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Більшівцівська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селищна  рада</w:t>
            </w:r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Головне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поліції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в  Івано-Франківській  області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2021рік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Перелік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бюджеті</w:t>
            </w:r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виконанні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заборонені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чинним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законодавством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>ісцевого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1101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4536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110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lastRenderedPageBreak/>
        <w:t>Ресурсне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»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Більшівцівської селищної </w:t>
      </w:r>
      <w:r w:rsidRPr="003C1E78">
        <w:rPr>
          <w:rFonts w:ascii="Times New Roman" w:hAnsi="Times New Roman"/>
          <w:b/>
          <w:sz w:val="28"/>
          <w:szCs w:val="28"/>
        </w:rPr>
        <w:t xml:space="preserve"> ради на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2021 </w:t>
      </w:r>
      <w:proofErr w:type="gramStart"/>
      <w:r w:rsidRPr="003C1E78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sz w:val="28"/>
          <w:szCs w:val="28"/>
        </w:rPr>
        <w:t>Етапи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sz w:val="28"/>
          <w:szCs w:val="28"/>
        </w:rPr>
        <w:t>Програми</w:t>
      </w:r>
      <w:proofErr w:type="spellEnd"/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260"/>
        <w:gridCol w:w="2464"/>
      </w:tblGrid>
      <w:tr w:rsidR="006362EA" w:rsidRPr="003C1E78" w:rsidTr="00371399">
        <w:tc>
          <w:tcPr>
            <w:tcW w:w="3652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итрат</w:t>
            </w:r>
            <w:proofErr w:type="spellEnd"/>
          </w:p>
        </w:tc>
        <w:tc>
          <w:tcPr>
            <w:tcW w:w="3260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464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6362EA" w:rsidRPr="003C1E78" w:rsidTr="00371399">
        <w:tc>
          <w:tcPr>
            <w:tcW w:w="3652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елищний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260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64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3652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небюджетних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3260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62EA" w:rsidRPr="003C1E78" w:rsidTr="00371399">
        <w:tc>
          <w:tcPr>
            <w:tcW w:w="3652" w:type="dxa"/>
          </w:tcPr>
          <w:p w:rsidR="006362EA" w:rsidRPr="003C1E78" w:rsidRDefault="006362EA" w:rsidP="003713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3260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6362EA" w:rsidRPr="003C1E78" w:rsidRDefault="006362EA" w:rsidP="0037139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3C1E78">
        <w:rPr>
          <w:rFonts w:ascii="Times New Roman" w:hAnsi="Times New Roman"/>
          <w:b/>
          <w:sz w:val="28"/>
          <w:szCs w:val="28"/>
        </w:rPr>
        <w:t>Напрямки</w:t>
      </w:r>
      <w:proofErr w:type="gram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та заходи</w:t>
      </w: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Поліцейський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офіцер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»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Більшівцівської  селищної  ради  на  2021  </w:t>
      </w:r>
      <w:proofErr w:type="gramStart"/>
      <w:r w:rsidRPr="003C1E78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3C1E78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6362EA" w:rsidRPr="003C1E78" w:rsidRDefault="006362EA" w:rsidP="00636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701"/>
        <w:gridCol w:w="2114"/>
        <w:gridCol w:w="1849"/>
        <w:gridCol w:w="1619"/>
      </w:tblGrid>
      <w:tr w:rsidR="006362EA" w:rsidRPr="003C1E78" w:rsidTr="00371399">
        <w:tc>
          <w:tcPr>
            <w:tcW w:w="1951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Перелі</w:t>
            </w:r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134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701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2114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849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</w:p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>), тис</w:t>
            </w:r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1E7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C1E78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619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1E78">
              <w:rPr>
                <w:rFonts w:ascii="Times New Roman" w:hAnsi="Times New Roman"/>
                <w:sz w:val="28"/>
                <w:szCs w:val="28"/>
              </w:rPr>
              <w:t>Очікуваний</w:t>
            </w:r>
            <w:proofErr w:type="spellEnd"/>
            <w:r w:rsidRPr="003C1E78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</w:tr>
      <w:tr w:rsidR="006362EA" w:rsidRPr="003C1E78" w:rsidTr="00371399">
        <w:tc>
          <w:tcPr>
            <w:tcW w:w="1951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паливно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мастильних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2EA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6362EA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службового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автотранспорту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поліцейських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офіцерів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4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</w:tcPr>
          <w:p w:rsidR="006362EA" w:rsidRPr="006362EA" w:rsidRDefault="006362EA" w:rsidP="00636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Більшівців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селищна  рада</w:t>
            </w:r>
          </w:p>
        </w:tc>
        <w:tc>
          <w:tcPr>
            <w:tcW w:w="2114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62E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Start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gramEnd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ільшівцівської  селищної ради</w:t>
            </w:r>
          </w:p>
        </w:tc>
        <w:tc>
          <w:tcPr>
            <w:tcW w:w="1849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паливно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мастильних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2EA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6362EA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службового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362EA">
              <w:rPr>
                <w:rFonts w:ascii="Times New Roman" w:hAnsi="Times New Roman"/>
                <w:sz w:val="24"/>
                <w:szCs w:val="24"/>
              </w:rPr>
              <w:t xml:space="preserve">транспорту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поліцейських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офіцерів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6362EA" w:rsidRPr="003C1E78" w:rsidTr="00371399">
        <w:tc>
          <w:tcPr>
            <w:tcW w:w="1951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Більшівців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селищна  рада</w:t>
            </w:r>
          </w:p>
        </w:tc>
        <w:tc>
          <w:tcPr>
            <w:tcW w:w="2114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62E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Start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gramEnd"/>
            <w:r w:rsidRPr="006362EA">
              <w:rPr>
                <w:rFonts w:ascii="Times New Roman" w:hAnsi="Times New Roman"/>
                <w:sz w:val="24"/>
                <w:szCs w:val="24"/>
                <w:lang w:val="uk-UA"/>
              </w:rPr>
              <w:t>ільшівцівської  селищної ради</w:t>
            </w:r>
          </w:p>
        </w:tc>
        <w:tc>
          <w:tcPr>
            <w:tcW w:w="1849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</w:tcPr>
          <w:p w:rsidR="006362EA" w:rsidRPr="006362EA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362EA">
              <w:rPr>
                <w:rFonts w:ascii="Times New Roman" w:hAnsi="Times New Roman"/>
                <w:sz w:val="24"/>
                <w:szCs w:val="24"/>
              </w:rPr>
              <w:t>Належний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2E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6362EA">
              <w:rPr>
                <w:rFonts w:ascii="Times New Roman" w:hAnsi="Times New Roman"/>
                <w:sz w:val="24"/>
                <w:szCs w:val="24"/>
              </w:rPr>
              <w:t>ічний</w:t>
            </w:r>
            <w:proofErr w:type="spellEnd"/>
            <w:r w:rsidRPr="006362EA">
              <w:rPr>
                <w:rFonts w:ascii="Times New Roman" w:hAnsi="Times New Roman"/>
                <w:sz w:val="24"/>
                <w:szCs w:val="24"/>
              </w:rPr>
              <w:t xml:space="preserve"> стан авто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362EA">
              <w:rPr>
                <w:rFonts w:ascii="Times New Roman" w:hAnsi="Times New Roman"/>
                <w:sz w:val="24"/>
                <w:szCs w:val="24"/>
              </w:rPr>
              <w:t>транспорту</w:t>
            </w:r>
          </w:p>
        </w:tc>
      </w:tr>
      <w:tr w:rsidR="006362EA" w:rsidRPr="003C1E78" w:rsidTr="00371399">
        <w:tc>
          <w:tcPr>
            <w:tcW w:w="1951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4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6362EA" w:rsidRPr="003C1E78" w:rsidRDefault="006362EA" w:rsidP="003713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13707" w:rsidRDefault="00E13707"/>
    <w:sectPr w:rsidR="00E13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4"/>
    <w:rsid w:val="006362EA"/>
    <w:rsid w:val="00996B94"/>
    <w:rsid w:val="00E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E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6362EA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6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62E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EA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3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6362EA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6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62E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5FFE-B5F7-40A8-96B1-A9C7F93C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6728</Words>
  <Characters>3836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</cp:revision>
  <cp:lastPrinted>2021-02-27T12:45:00Z</cp:lastPrinted>
  <dcterms:created xsi:type="dcterms:W3CDTF">2021-02-27T12:38:00Z</dcterms:created>
  <dcterms:modified xsi:type="dcterms:W3CDTF">2021-02-27T12:46:00Z</dcterms:modified>
</cp:coreProperties>
</file>